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480"/>
              <w:left w:type="dxa" w:w="480"/>
              <w:bottom w:type="dxa" w:w="480"/>
              <w:right w:type="dxa" w:w="480"/>
            </w:tcMar>
          </w:tcPr>
          <w:p>
            <w:pPr>
              <w:spacing w:after="80" w:before="0"/>
            </w:pPr>
            <w:r>
              <w:rPr>
                <w:rFonts w:ascii="Calibri" w:cs="Calibri" w:eastAsia="Calibri" w:hAnsi="Calibri"/>
                <w:b/>
                <w:bCs/>
                <w:color w:val="8CA0B5"/>
                <w:spacing w:val="80"/>
                <w:sz w:val="17"/>
                <w:szCs w:val="17"/>
              </w:rPr>
              <w:t xml:space="preserve">MCPHAIL SECURITY  |  INTERNAL USE ONLY</w:t>
            </w:r>
          </w:p>
          <w:p>
            <w:pPr>
              <w:spacing w:after="100" w:before="0"/>
            </w:pPr>
            <w:r>
              <w:rPr>
                <w:rFonts w:ascii="Calibri" w:cs="Calibri" w:eastAsia="Calibri" w:hAnsi="Calibri"/>
                <w:b/>
                <w:bCs/>
                <w:color w:val="FFFFFF"/>
                <w:sz w:val="44"/>
                <w:szCs w:val="44"/>
              </w:rPr>
              <w:t xml:space="preserve">Session Facilitation Guide</w:t>
            </w:r>
          </w:p>
          <w:p>
            <w:r>
              <w:rPr>
                <w:rFonts w:ascii="Calibri" w:cs="Calibri" w:eastAsia="Calibri" w:hAnsi="Calibri"/>
                <w:i/>
                <w:iCs/>
                <w:color w:val="2196C9"/>
                <w:sz w:val="22"/>
                <w:szCs w:val="22"/>
              </w:rPr>
              <w:t xml:space="preserve">Partner-Craft POV Engagement Series</w:t>
            </w:r>
          </w:p>
          <w:p>
            <w:pPr>
              <w:spacing w:after="0" w:before="200"/>
            </w:pPr>
            <w:r>
              <w:t xml:space="preserve"/>
            </w:r>
          </w:p>
          <w:tbl>
            <w:tblPr>
              <w:tblW w:type="dxa" w:w="8400"/>
              <w:tblBorders>
                <w:top w:val="none" w:color="FFFFFF" w:sz="0"/>
                <w:left w:val="none" w:color="FFFFFF" w:sz="0"/>
                <w:bottom w:val="none" w:color="FFFFFF" w:sz="0"/>
                <w:right w:val="none" w:color="FFFFFF" w:sz="0"/>
                <w:insideH w:val="single" w:color="auto" w:sz="4"/>
                <w:insideV w:val="single" w:color="auto" w:sz="4"/>
              </w:tblBorders>
            </w:tblPr>
            <w:tblGrid>
              <w:gridCol w:w="2800"/>
              <w:gridCol w:w="2800"/>
              <w:gridCol w:w="2800"/>
            </w:tblGrid>
            <w:tr>
              <w:tc>
                <w:tcPr>
                  <w:tcW w:type="dxa" w:w="2800"/>
                  <w:tcBorders>
                    <w:top w:val="none" w:color="FFFFFF" w:sz="0"/>
                    <w:left w:val="none" w:color="FFFFFF" w:sz="0"/>
                    <w:bottom w:val="none" w:color="FFFFFF" w:sz="0"/>
                    <w:right w:val="none" w:color="FFFFFF" w:sz="0"/>
                  </w:tcBorders>
                </w:tcPr>
                <w:p>
                  <w:r>
                    <w:rPr>
                      <w:rFonts w:ascii="Calibri" w:cs="Calibri" w:eastAsia="Calibri" w:hAnsi="Calibri"/>
                      <w:color w:val="8CA0B5"/>
                      <w:sz w:val="18"/>
                      <w:szCs w:val="18"/>
                    </w:rPr>
                    <w:t xml:space="preserve">Partner</w:t>
                  </w:r>
                </w:p>
                <w:p>
                  <w:r>
                    <w:rPr>
                      <w:rFonts w:ascii="Calibri" w:cs="Calibri" w:eastAsia="Calibri" w:hAnsi="Calibri"/>
                      <w:color w:val="FFFFFF"/>
                      <w:sz w:val="20"/>
                      <w:szCs w:val="20"/>
                    </w:rPr>
                    <w:t xml:space="preserve">_______________________</w:t>
                  </w:r>
                </w:p>
              </w:tc>
              <w:tc>
                <w:tcPr>
                  <w:tcW w:type="dxa" w:w="2800"/>
                  <w:tcBorders>
                    <w:top w:val="none" w:color="FFFFFF" w:sz="0"/>
                    <w:left w:val="none" w:color="FFFFFF" w:sz="0"/>
                    <w:bottom w:val="none" w:color="FFFFFF" w:sz="0"/>
                    <w:right w:val="none" w:color="FFFFFF" w:sz="0"/>
                  </w:tcBorders>
                </w:tcPr>
                <w:p>
                  <w:r>
                    <w:rPr>
                      <w:rFonts w:ascii="Calibri" w:cs="Calibri" w:eastAsia="Calibri" w:hAnsi="Calibri"/>
                      <w:color w:val="8CA0B5"/>
                      <w:sz w:val="18"/>
                      <w:szCs w:val="18"/>
                    </w:rPr>
                    <w:t xml:space="preserve">Vendor</w:t>
                  </w:r>
                </w:p>
                <w:p>
                  <w:r>
                    <w:rPr>
                      <w:rFonts w:ascii="Calibri" w:cs="Calibri" w:eastAsia="Calibri" w:hAnsi="Calibri"/>
                      <w:color w:val="FFFFFF"/>
                      <w:sz w:val="20"/>
                      <w:szCs w:val="20"/>
                    </w:rPr>
                    <w:t xml:space="preserve">_______________________</w:t>
                  </w:r>
                </w:p>
              </w:tc>
              <w:tc>
                <w:tcPr>
                  <w:tcW w:type="dxa" w:w="2800"/>
                  <w:tcBorders>
                    <w:top w:val="none" w:color="FFFFFF" w:sz="0"/>
                    <w:left w:val="none" w:color="FFFFFF" w:sz="0"/>
                    <w:bottom w:val="none" w:color="FFFFFF" w:sz="0"/>
                    <w:right w:val="none" w:color="FFFFFF" w:sz="0"/>
                  </w:tcBorders>
                </w:tcPr>
                <w:p>
                  <w:r>
                    <w:rPr>
                      <w:rFonts w:ascii="Calibri" w:cs="Calibri" w:eastAsia="Calibri" w:hAnsi="Calibri"/>
                      <w:color w:val="8CA0B5"/>
                      <w:sz w:val="18"/>
                      <w:szCs w:val="18"/>
                    </w:rPr>
                    <w:t xml:space="preserve">Archetype</w:t>
                  </w:r>
                </w:p>
                <w:p>
                  <w:r>
                    <w:rPr>
                      <w:rFonts w:ascii="Calibri" w:cs="Calibri" w:eastAsia="Calibri" w:hAnsi="Calibri"/>
                      <w:color w:val="FFFFFF"/>
                      <w:sz w:val="20"/>
                      <w:szCs w:val="20"/>
                    </w:rPr>
                    <w:t xml:space="preserve">_______________________</w:t>
                  </w:r>
                </w:p>
              </w:tc>
            </w:tr>
          </w:tbl>
          <w:p/>
        </w:tc>
      </w:tr>
    </w:tbl>
    <w:p>
      <w:pPr>
        <w:spacing w:after="0"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
        <w:gridCol w:w="9180"/>
      </w:tblGrid>
      <w:tr>
        <w:tc>
          <w:tcPr>
            <w:tcW w:type="dxa" w:w="180"/>
            <w:tcBorders>
              <w:top w:val="single" w:color="CCCCCC" w:sz="1"/>
              <w:left w:val="single" w:color="CCCCCC" w:sz="1"/>
              <w:bottom w:val="single" w:color="CCCCCC" w:sz="1"/>
              <w:right w:val="single" w:color="CCCCCC" w:sz="1"/>
            </w:tcBorders>
            <w:shd w:fill="C0392B" w:val="clear"/>
            <w:tcMar>
              <w:top w:type="dxa" w:w="120"/>
              <w:left w:type="dxa" w:w="80"/>
              <w:bottom w:type="dxa" w:w="120"/>
              <w:right w:type="dxa" w:w="80"/>
            </w:tcMar>
          </w:tcPr>
          <w:p>
            <w:pPr>
              <w:jc w:val="center"/>
            </w:pPr>
            <w:r>
              <w:rPr>
                <w:rFonts w:ascii="Calibri" w:cs="Calibri" w:eastAsia="Calibri" w:hAnsi="Calibri"/>
                <w:sz w:val="20"/>
                <w:szCs w:val="20"/>
              </w:rPr>
              <w:t xml:space="preserve"/>
            </w:r>
          </w:p>
        </w:tc>
        <w:tc>
          <w:tcPr>
            <w:tcW w:type="dxa" w:w="9180"/>
            <w:tcBorders>
              <w:top w:val="single" w:color="CCCCCC" w:sz="1"/>
              <w:left w:val="single" w:color="CCCCCC" w:sz="1"/>
              <w:bottom w:val="single" w:color="CCCCCC" w:sz="1"/>
              <w:right w:val="single" w:color="CCCCCC" w:sz="1"/>
            </w:tcBorders>
            <w:shd w:fill="F4F7FB" w:val="clear"/>
            <w:tcMar>
              <w:top w:type="dxa" w:w="120"/>
              <w:left w:type="dxa" w:w="200"/>
              <w:bottom w:type="dxa" w:w="120"/>
              <w:right w:type="dxa" w:w="200"/>
            </w:tcMar>
          </w:tcPr>
          <w:p>
            <w:r>
              <w:rPr>
                <w:rFonts w:ascii="Calibri" w:cs="Calibri" w:eastAsia="Calibri" w:hAnsi="Calibri"/>
                <w:b/>
                <w:bCs/>
                <w:color w:val="C0392B"/>
                <w:spacing w:val="40"/>
                <w:sz w:val="18"/>
                <w:szCs w:val="18"/>
              </w:rPr>
              <w:t xml:space="preserve">INTERNAL USE ONLY</w:t>
            </w:r>
          </w:p>
          <w:p>
            <w:pPr>
              <w:spacing w:after="0" w:before="60"/>
            </w:pPr>
            <w:r>
              <w:rPr>
                <w:rFonts w:ascii="Calibri" w:cs="Calibri" w:eastAsia="Calibri" w:hAnsi="Calibri"/>
                <w:color w:val="1A2535"/>
                <w:sz w:val="21"/>
                <w:szCs w:val="21"/>
              </w:rPr>
              <w:t xml:space="preserve">This guide is for MM only. It is not shared with the partner or vendor at any point. It contains facilitation prompts, session management guidance, and candid assessments that are intended to support delivery, not to be read in the room.</w:t>
            </w:r>
          </w:p>
        </w:tc>
      </w:tr>
    </w:tbl>
    <w:p>
      <w:pPr>
        <w:spacing w:after="0" w:before="2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180"/>
              <w:left w:type="dxa" w:w="280"/>
              <w:bottom w:type="dxa" w:w="180"/>
              <w:right w:type="dxa" w:w="280"/>
            </w:tcMar>
          </w:tcPr>
          <w:p>
            <w:r>
              <w:rPr>
                <w:rFonts w:ascii="Calibri" w:cs="Calibri" w:eastAsia="Calibri" w:hAnsi="Calibri"/>
                <w:b/>
                <w:bCs/>
                <w:color w:val="FFFFFF"/>
                <w:sz w:val="28"/>
                <w:szCs w:val="28"/>
              </w:rPr>
              <w:t xml:space="preserve">Section 1: Purpose of This Guide</w:t>
            </w:r>
          </w:p>
        </w:tc>
      </w:tr>
    </w:tbl>
    <w:p>
      <w:pPr>
        <w:spacing w:after="0" w:before="160"/>
      </w:pPr>
      <w:r>
        <w:t xml:space="preserve"/>
      </w:r>
    </w:p>
    <w:p>
      <w:pPr>
        <w:spacing w:after="80" w:before="80"/>
      </w:pPr>
      <w:r>
        <w:rPr>
          <w:rFonts w:ascii="Calibri" w:cs="Calibri" w:eastAsia="Calibri" w:hAnsi="Calibri"/>
          <w:color w:val="1A2535"/>
          <w:sz w:val="22"/>
          <w:szCs w:val="22"/>
        </w:rPr>
        <w:t xml:space="preserve">This guide tells you how to run each session: what to ask, what to listen for, how to handle common dynamics, and what a good output looks like before you leave the room.</w:t>
      </w:r>
    </w:p>
    <w:p>
      <w:pPr>
        <w:spacing w:after="0" w:before="80"/>
      </w:pPr>
      <w:r>
        <w:t xml:space="preserve"/>
      </w:r>
    </w:p>
    <w:p>
      <w:pPr>
        <w:spacing w:after="80" w:before="80"/>
      </w:pPr>
      <w:r>
        <w:rPr>
          <w:rFonts w:ascii="Calibri" w:cs="Calibri" w:eastAsia="Calibri" w:hAnsi="Calibri"/>
          <w:color w:val="1A2535"/>
          <w:sz w:val="22"/>
          <w:szCs w:val="22"/>
        </w:rPr>
        <w:t xml:space="preserve">It is organized in two parts. The core content covers principles, session structure, and dynamics that apply to every engagement regardless of archetype. The archetype variants at the end replace the core discussion block for the minutes 10-40 section of each session.</w:t>
      </w:r>
    </w:p>
    <w:p>
      <w:pPr>
        <w:spacing w:after="0" w:before="2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180"/>
              <w:left w:type="dxa" w:w="280"/>
              <w:bottom w:type="dxa" w:w="180"/>
              <w:right w:type="dxa" w:w="280"/>
            </w:tcMar>
          </w:tcPr>
          <w:p>
            <w:r>
              <w:rPr>
                <w:rFonts w:ascii="Calibri" w:cs="Calibri" w:eastAsia="Calibri" w:hAnsi="Calibri"/>
                <w:b/>
                <w:bCs/>
                <w:color w:val="FFFFFF"/>
                <w:sz w:val="28"/>
                <w:szCs w:val="28"/>
              </w:rPr>
              <w:t xml:space="preserve">Section 2: Core Facilitation Principles</w:t>
            </w:r>
          </w:p>
        </w:tc>
      </w:tr>
    </w:tbl>
    <w:p>
      <w:pPr>
        <w:spacing w:after="0" w:before="160"/>
      </w:pPr>
      <w:r>
        <w:t xml:space="preserve"/>
      </w:r>
    </w:p>
    <w:p>
      <w:pPr>
        <w:spacing w:after="80" w:before="80"/>
      </w:pPr>
      <w:r>
        <w:rPr>
          <w:rFonts w:ascii="Calibri" w:cs="Calibri" w:eastAsia="Calibri" w:hAnsi="Calibri"/>
          <w:b/>
          <w:bCs/>
          <w:color w:val="1A2535"/>
          <w:sz w:val="22"/>
          <w:szCs w:val="22"/>
        </w:rPr>
        <w:t xml:space="preserve">These apply to every session in every engagement. Return to them if something is not working.</w:t>
      </w:r>
    </w:p>
    <w:p>
      <w:pPr>
        <w:spacing w:after="0" w:before="120"/>
      </w:pPr>
      <w:r>
        <w:t xml:space="preserve"/>
      </w:r>
    </w:p>
    <w:p>
      <w:pPr>
        <w:pStyle w:val="ListParagraph"/>
        <w:numPr>
          <w:ilvl w:val="0"/>
          <w:numId w:val="2"/>
        </w:numPr>
        <w:spacing w:after="60" w:before="60"/>
      </w:pPr>
      <w:r>
        <w:rPr>
          <w:rFonts w:ascii="Calibri" w:cs="Calibri" w:eastAsia="Calibri" w:hAnsi="Calibri"/>
          <w:b w:val="false"/>
          <w:bCs w:val="false"/>
          <w:color w:val="1A2535"/>
          <w:sz w:val="22"/>
          <w:szCs w:val="22"/>
        </w:rPr>
        <w:t xml:space="preserve">Your job is to draw out, not to present. The moment you start presenting, you have lost the room.</w:t>
      </w:r>
    </w:p>
    <w:p>
      <w:pPr>
        <w:pStyle w:val="ListParagraph"/>
        <w:numPr>
          <w:ilvl w:val="0"/>
          <w:numId w:val="2"/>
        </w:numPr>
        <w:spacing w:after="60" w:before="60"/>
      </w:pPr>
      <w:r>
        <w:rPr>
          <w:rFonts w:ascii="Calibri" w:cs="Calibri" w:eastAsia="Calibri" w:hAnsi="Calibri"/>
          <w:b w:val="false"/>
          <w:bCs w:val="false"/>
          <w:color w:val="1A2535"/>
          <w:sz w:val="22"/>
          <w:szCs w:val="22"/>
        </w:rPr>
        <w:t xml:space="preserve">Silence is productive. After a hard question, let it sit. Count to ten before you speak. The partner will fill it.</w:t>
      </w:r>
    </w:p>
    <w:p>
      <w:pPr>
        <w:pStyle w:val="ListParagraph"/>
        <w:numPr>
          <w:ilvl w:val="0"/>
          <w:numId w:val="2"/>
        </w:numPr>
        <w:spacing w:after="60" w:before="60"/>
      </w:pPr>
      <w:r>
        <w:rPr>
          <w:rFonts w:ascii="Calibri" w:cs="Calibri" w:eastAsia="Calibri" w:hAnsi="Calibri"/>
          <w:b w:val="false"/>
          <w:bCs w:val="false"/>
          <w:color w:val="1A2535"/>
          <w:sz w:val="22"/>
          <w:szCs w:val="22"/>
        </w:rPr>
        <w:t xml:space="preserve">The vendor's enthusiasm is not the agenda. Redirect early and redirect explicitly if the vendor is driving.</w:t>
      </w:r>
    </w:p>
    <w:p>
      <w:pPr>
        <w:pStyle w:val="ListParagraph"/>
        <w:numPr>
          <w:ilvl w:val="0"/>
          <w:numId w:val="2"/>
        </w:numPr>
        <w:spacing w:after="60" w:before="60"/>
      </w:pPr>
      <w:r>
        <w:rPr>
          <w:rFonts w:ascii="Calibri" w:cs="Calibri" w:eastAsia="Calibri" w:hAnsi="Calibri"/>
          <w:b w:val="false"/>
          <w:bCs w:val="false"/>
          <w:color w:val="1A2535"/>
          <w:sz w:val="22"/>
          <w:szCs w:val="22"/>
        </w:rPr>
        <w:t xml:space="preserve">If the partner is hedging, name it. Say: 'It sounds like there is something here you are not sure is safe to say.' Then wait.</w:t>
      </w:r>
    </w:p>
    <w:p>
      <w:pPr>
        <w:pStyle w:val="ListParagraph"/>
        <w:numPr>
          <w:ilvl w:val="0"/>
          <w:numId w:val="2"/>
        </w:numPr>
        <w:spacing w:after="60" w:before="60"/>
      </w:pPr>
      <w:r>
        <w:rPr>
          <w:rFonts w:ascii="Calibri" w:cs="Calibri" w:eastAsia="Calibri" w:hAnsi="Calibri"/>
          <w:b w:val="false"/>
          <w:bCs w:val="false"/>
          <w:color w:val="1A2535"/>
          <w:sz w:val="22"/>
          <w:szCs w:val="22"/>
        </w:rPr>
        <w:t xml:space="preserve">Record outputs in real time, visible to the room. A shared screen or whiteboard builds trust and keeps people honest.</w:t>
      </w:r>
    </w:p>
    <w:p>
      <w:pPr>
        <w:pStyle w:val="ListParagraph"/>
        <w:numPr>
          <w:ilvl w:val="0"/>
          <w:numId w:val="2"/>
        </w:numPr>
        <w:spacing w:after="60" w:before="60"/>
      </w:pPr>
      <w:r>
        <w:rPr>
          <w:rFonts w:ascii="Calibri" w:cs="Calibri" w:eastAsia="Calibri" w:hAnsi="Calibri"/>
          <w:b w:val="false"/>
          <w:bCs w:val="false"/>
          <w:color w:val="1A2535"/>
          <w:sz w:val="22"/>
          <w:szCs w:val="22"/>
        </w:rPr>
        <w:t xml:space="preserve">End every session with three things confirmed: what was decided, what is still open, and who owns what next.</w:t>
      </w:r>
    </w:p>
    <w:p>
      <w:pPr>
        <w:pStyle w:val="ListParagraph"/>
        <w:numPr>
          <w:ilvl w:val="0"/>
          <w:numId w:val="2"/>
        </w:numPr>
        <w:spacing w:after="60" w:before="60"/>
      </w:pPr>
      <w:r>
        <w:rPr>
          <w:rFonts w:ascii="Calibri" w:cs="Calibri" w:eastAsia="Calibri" w:hAnsi="Calibri"/>
          <w:b w:val="false"/>
          <w:bCs w:val="false"/>
          <w:color w:val="1A2535"/>
          <w:sz w:val="22"/>
          <w:szCs w:val="22"/>
        </w:rPr>
        <w:t xml:space="preserve">One session per week minimum. Longer gaps let momentum die.</w:t>
      </w:r>
    </w:p>
    <w:p>
      <w:pPr>
        <w:spacing w:after="0" w:before="2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180"/>
              <w:left w:type="dxa" w:w="280"/>
              <w:bottom w:type="dxa" w:w="180"/>
              <w:right w:type="dxa" w:w="280"/>
            </w:tcMar>
          </w:tcPr>
          <w:p>
            <w:r>
              <w:rPr>
                <w:rFonts w:ascii="Calibri" w:cs="Calibri" w:eastAsia="Calibri" w:hAnsi="Calibri"/>
                <w:b/>
                <w:bCs/>
                <w:color w:val="FFFFFF"/>
                <w:sz w:val="28"/>
                <w:szCs w:val="28"/>
              </w:rPr>
              <w:t xml:space="preserve">Section 3: Standard Session Structure</w:t>
            </w:r>
          </w:p>
          <w:p>
            <w:pPr>
              <w:spacing w:after="0" w:before="40"/>
            </w:pPr>
            <w:r>
              <w:rPr>
                <w:rFonts w:ascii="Calibri" w:cs="Calibri" w:eastAsia="Calibri" w:hAnsi="Calibri"/>
                <w:i/>
                <w:iCs/>
                <w:color w:val="8CA0B5"/>
                <w:sz w:val="19"/>
                <w:szCs w:val="19"/>
              </w:rPr>
              <w:t xml:space="preserve">Apply this template to every session. Adjust timing by session length.</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2196C9" w:val="clear"/>
            <w:tcMar>
              <w:top w:type="dxa" w:w="80"/>
              <w:left w:type="dxa" w:w="120"/>
              <w:bottom w:type="dxa" w:w="80"/>
              <w:right w:type="dxa" w:w="120"/>
            </w:tcMar>
          </w:tcPr>
          <w:p>
            <w:r>
              <w:rPr>
                <w:rFonts w:ascii="Calibri" w:cs="Calibri" w:eastAsia="Calibri" w:hAnsi="Calibri"/>
                <w:b/>
                <w:bCs/>
                <w:color w:val="FFFFFF"/>
                <w:spacing w:val="40"/>
                <w:sz w:val="20"/>
                <w:szCs w:val="20"/>
              </w:rPr>
              <w:t xml:space="preserve">TIME</w:t>
            </w:r>
          </w:p>
        </w:tc>
        <w:tc>
          <w:tcPr>
            <w:tcW w:type="dxa" w:w="7560"/>
            <w:tcBorders>
              <w:top w:val="single" w:color="CCCCCC" w:sz="1"/>
              <w:left w:val="single" w:color="CCCCCC" w:sz="1"/>
              <w:bottom w:val="single" w:color="CCCCCC" w:sz="1"/>
              <w:right w:val="single" w:color="CCCCCC" w:sz="1"/>
            </w:tcBorders>
            <w:shd w:fill="2196C9" w:val="clear"/>
            <w:tcMar>
              <w:top w:type="dxa" w:w="80"/>
              <w:left w:type="dxa" w:w="120"/>
              <w:bottom w:type="dxa" w:w="80"/>
              <w:right w:type="dxa" w:w="120"/>
            </w:tcMar>
          </w:tcPr>
          <w:p>
            <w:r>
              <w:rPr>
                <w:rFonts w:ascii="Calibri" w:cs="Calibri" w:eastAsia="Calibri" w:hAnsi="Calibri"/>
                <w:b/>
                <w:bCs/>
                <w:color w:val="FFFFFF"/>
                <w:spacing w:val="40"/>
                <w:sz w:val="20"/>
                <w:szCs w:val="20"/>
              </w:rPr>
              <w:t xml:space="preserve">ACTIVITY</w:t>
            </w:r>
          </w:p>
        </w:tc>
      </w:tr>
      <w:tr>
        <w:tc>
          <w:tcPr>
            <w:tcW w:type="dxa" w:w="1800"/>
            <w:tcBorders>
              <w:top w:val="single" w:color="CCCCCC" w:sz="1"/>
              <w:left w:val="single" w:color="CCCCCC" w:sz="1"/>
              <w:bottom w:val="single" w:color="CCCCCC" w:sz="1"/>
              <w:right w:val="single" w:color="CCCCCC" w:sz="1"/>
            </w:tcBorders>
            <w:shd w:fill="D6E8F5" w:val="clear"/>
            <w:tcMar>
              <w:top w:type="dxa" w:w="100"/>
              <w:left w:type="dxa" w:w="120"/>
              <w:bottom w:type="dxa" w:w="100"/>
              <w:right w:type="dxa" w:w="120"/>
            </w:tcMar>
          </w:tcPr>
          <w:p>
            <w:r>
              <w:rPr>
                <w:rFonts w:ascii="Calibri" w:cs="Calibri" w:eastAsia="Calibri" w:hAnsi="Calibri"/>
                <w:b/>
                <w:bCs/>
                <w:color w:val="1A6B9A"/>
                <w:sz w:val="21"/>
                <w:szCs w:val="21"/>
              </w:rPr>
              <w:t xml:space="preserve">0:00 – 0:10</w:t>
            </w:r>
          </w:p>
        </w:tc>
        <w:tc>
          <w:tcPr>
            <w:tcW w:type="dxa" w:w="7560"/>
            <w:tcBorders>
              <w:top w:val="single" w:color="CCCCCC" w:sz="1"/>
              <w:left w:val="single" w:color="CCCCCC" w:sz="1"/>
              <w:bottom w:val="single" w:color="CCCCCC" w:sz="1"/>
              <w:right w:val="single" w:color="CCCCCC" w:sz="1"/>
            </w:tcBorders>
            <w:shd w:fill="D6E8F5" w:val="clear"/>
            <w:tcMar>
              <w:top w:type="dxa" w:w="100"/>
              <w:left w:type="dxa" w:w="120"/>
              <w:bottom w:type="dxa" w:w="100"/>
              <w:right w:type="dxa" w:w="120"/>
            </w:tcMar>
          </w:tcPr>
          <w:p>
            <w:r>
              <w:rPr>
                <w:rFonts w:ascii="Calibri" w:cs="Calibri" w:eastAsia="Calibri" w:hAnsi="Calibri"/>
                <w:color w:val="1A2535"/>
                <w:sz w:val="21"/>
                <w:szCs w:val="21"/>
              </w:rPr>
              <w:t xml:space="preserve">Re-orient: where we are in the engagement, what today produces, any pre-work to surface</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Calibri" w:cs="Calibri" w:eastAsia="Calibri" w:hAnsi="Calibri"/>
                <w:b/>
                <w:bCs/>
                <w:color w:val="1A6B9A"/>
                <w:sz w:val="21"/>
                <w:szCs w:val="21"/>
              </w:rPr>
              <w:t xml:space="preserve">0:10 – 0:40</w:t>
            </w:r>
          </w:p>
        </w:tc>
        <w:tc>
          <w:tcPr>
            <w:tcW w:type="dxa" w:w="75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Calibri" w:cs="Calibri" w:eastAsia="Calibri" w:hAnsi="Calibri"/>
                <w:color w:val="1A2535"/>
                <w:sz w:val="21"/>
                <w:szCs w:val="21"/>
              </w:rPr>
              <w:t xml:space="preserve">Core facilitated discussion (use archetype-specific block from end of this document)</w:t>
            </w:r>
          </w:p>
        </w:tc>
      </w:tr>
      <w:tr>
        <w:tc>
          <w:tcPr>
            <w:tcW w:type="dxa" w:w="1800"/>
            <w:tcBorders>
              <w:top w:val="single" w:color="CCCCCC" w:sz="1"/>
              <w:left w:val="single" w:color="CCCCCC" w:sz="1"/>
              <w:bottom w:val="single" w:color="CCCCCC" w:sz="1"/>
              <w:right w:val="single" w:color="CCCCCC" w:sz="1"/>
            </w:tcBorders>
            <w:shd w:fill="D6E8F5" w:val="clear"/>
            <w:tcMar>
              <w:top w:type="dxa" w:w="100"/>
              <w:left w:type="dxa" w:w="120"/>
              <w:bottom w:type="dxa" w:w="100"/>
              <w:right w:type="dxa" w:w="120"/>
            </w:tcMar>
          </w:tcPr>
          <w:p>
            <w:r>
              <w:rPr>
                <w:rFonts w:ascii="Calibri" w:cs="Calibri" w:eastAsia="Calibri" w:hAnsi="Calibri"/>
                <w:b/>
                <w:bCs/>
                <w:color w:val="1A6B9A"/>
                <w:sz w:val="21"/>
                <w:szCs w:val="21"/>
              </w:rPr>
              <w:t xml:space="preserve">0:40 – 0:50</w:t>
            </w:r>
          </w:p>
        </w:tc>
        <w:tc>
          <w:tcPr>
            <w:tcW w:type="dxa" w:w="7560"/>
            <w:tcBorders>
              <w:top w:val="single" w:color="CCCCCC" w:sz="1"/>
              <w:left w:val="single" w:color="CCCCCC" w:sz="1"/>
              <w:bottom w:val="single" w:color="CCCCCC" w:sz="1"/>
              <w:right w:val="single" w:color="CCCCCC" w:sz="1"/>
            </w:tcBorders>
            <w:shd w:fill="D6E8F5" w:val="clear"/>
            <w:tcMar>
              <w:top w:type="dxa" w:w="100"/>
              <w:left w:type="dxa" w:w="120"/>
              <w:bottom w:type="dxa" w:w="100"/>
              <w:right w:type="dxa" w:w="120"/>
            </w:tcMar>
          </w:tcPr>
          <w:p>
            <w:r>
              <w:rPr>
                <w:rFonts w:ascii="Calibri" w:cs="Calibri" w:eastAsia="Calibri" w:hAnsi="Calibri"/>
                <w:color w:val="1A2535"/>
                <w:sz w:val="21"/>
                <w:szCs w:val="21"/>
              </w:rPr>
              <w:t xml:space="preserve">Output capture: what did we actually decide, what remains open, record it visibly</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Calibri" w:cs="Calibri" w:eastAsia="Calibri" w:hAnsi="Calibri"/>
                <w:b/>
                <w:bCs/>
                <w:color w:val="1A6B9A"/>
                <w:sz w:val="21"/>
                <w:szCs w:val="21"/>
              </w:rPr>
              <w:t xml:space="preserve">0:50 – 1:00</w:t>
            </w:r>
          </w:p>
        </w:tc>
        <w:tc>
          <w:tcPr>
            <w:tcW w:type="dxa" w:w="75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Calibri" w:cs="Calibri" w:eastAsia="Calibri" w:hAnsi="Calibri"/>
                <w:color w:val="1A2535"/>
                <w:sz w:val="21"/>
                <w:szCs w:val="21"/>
              </w:rPr>
              <w:t xml:space="preserve">Next session setup: who needs to be there, what pre-work is needed, confirm the date</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
        <w:gridCol w:w="9180"/>
      </w:tblGrid>
      <w:tr>
        <w:tc>
          <w:tcPr>
            <w:tcW w:type="dxa" w:w="180"/>
            <w:tcBorders>
              <w:top w:val="single" w:color="CCCCCC" w:sz="1"/>
              <w:left w:val="single" w:color="CCCCCC" w:sz="1"/>
              <w:bottom w:val="single" w:color="CCCCCC" w:sz="1"/>
              <w:right w:val="single" w:color="CCCCCC" w:sz="1"/>
            </w:tcBorders>
            <w:shd w:fill="1A6B9A" w:val="clear"/>
            <w:tcMar>
              <w:top w:type="dxa" w:w="120"/>
              <w:left w:type="dxa" w:w="80"/>
              <w:bottom w:type="dxa" w:w="120"/>
              <w:right w:type="dxa" w:w="80"/>
            </w:tcMar>
          </w:tcPr>
          <w:p>
            <w:pPr>
              <w:jc w:val="center"/>
            </w:pPr>
            <w:r>
              <w:rPr>
                <w:rFonts w:ascii="Calibri" w:cs="Calibri" w:eastAsia="Calibri" w:hAnsi="Calibri"/>
                <w:sz w:val="20"/>
                <w:szCs w:val="20"/>
              </w:rPr>
              <w:t xml:space="preserve"/>
            </w:r>
          </w:p>
        </w:tc>
        <w:tc>
          <w:tcPr>
            <w:tcW w:type="dxa" w:w="9180"/>
            <w:tcBorders>
              <w:top w:val="single" w:color="CCCCCC" w:sz="1"/>
              <w:left w:val="single" w:color="CCCCCC" w:sz="1"/>
              <w:bottom w:val="single" w:color="CCCCCC" w:sz="1"/>
              <w:right w:val="single" w:color="CCCCCC" w:sz="1"/>
            </w:tcBorders>
            <w:shd w:fill="F4F7FB" w:val="clear"/>
            <w:tcMar>
              <w:top w:type="dxa" w:w="120"/>
              <w:left w:type="dxa" w:w="200"/>
              <w:bottom w:type="dxa" w:w="120"/>
              <w:right w:type="dxa" w:w="200"/>
            </w:tcMar>
          </w:tcPr>
          <w:p>
            <w:r>
              <w:rPr>
                <w:rFonts w:ascii="Calibri" w:cs="Calibri" w:eastAsia="Calibri" w:hAnsi="Calibri"/>
                <w:b/>
                <w:bCs/>
                <w:color w:val="1A6B9A"/>
                <w:spacing w:val="40"/>
                <w:sz w:val="18"/>
                <w:szCs w:val="18"/>
              </w:rPr>
              <w:t xml:space="preserve">PREPARATION</w:t>
            </w:r>
          </w:p>
          <w:p>
            <w:pPr>
              <w:spacing w:after="0" w:before="60"/>
            </w:pPr>
            <w:r>
              <w:rPr>
                <w:rFonts w:ascii="Calibri" w:cs="Calibri" w:eastAsia="Calibri" w:hAnsi="Calibri"/>
                <w:color w:val="1A2535"/>
                <w:sz w:val="21"/>
                <w:szCs w:val="21"/>
              </w:rPr>
              <w:t xml:space="preserve">Before every session: re-read the output summary from the previous session. Have the Gap Analysis Tracker open. Know what you are trying to produce before you open the call.</w:t>
            </w:r>
          </w:p>
        </w:tc>
      </w:tr>
    </w:tbl>
    <w:p>
      <w:pPr>
        <w:spacing w:after="0" w:before="2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180"/>
              <w:left w:type="dxa" w:w="280"/>
              <w:bottom w:type="dxa" w:w="180"/>
              <w:right w:type="dxa" w:w="280"/>
            </w:tcMar>
          </w:tcPr>
          <w:p>
            <w:r>
              <w:rPr>
                <w:rFonts w:ascii="Calibri" w:cs="Calibri" w:eastAsia="Calibri" w:hAnsi="Calibri"/>
                <w:b/>
                <w:bCs/>
                <w:color w:val="FFFFFF"/>
                <w:sz w:val="28"/>
                <w:szCs w:val="28"/>
              </w:rPr>
              <w:t xml:space="preserve">Section 4: Common Dynamics and How to Handle Them</w:t>
            </w:r>
          </w:p>
        </w:tc>
      </w:tr>
    </w:tbl>
    <w:p>
      <w:pPr>
        <w:spacing w:after="0" w:before="160"/>
      </w:pPr>
      <w:r>
        <w:t xml:space="preserve"/>
      </w:r>
    </w:p>
    <w:p>
      <w:pPr>
        <w:spacing w:after="80" w:before="80"/>
      </w:pPr>
      <w:r>
        <w:rPr>
          <w:rFonts w:ascii="Calibri" w:cs="Calibri" w:eastAsia="Calibri" w:hAnsi="Calibri"/>
          <w:b/>
          <w:bCs/>
          <w:color w:val="1A2535"/>
          <w:sz w:val="22"/>
          <w:szCs w:val="22"/>
        </w:rPr>
        <w:t xml:space="preserve">These situations come up in most engagements. Having a planned response means you handle them cleanly rather than reactively.</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D6E8F5"/>
                <w:spacing w:val="40"/>
                <w:sz w:val="19"/>
                <w:szCs w:val="19"/>
              </w:rPr>
              <w:t xml:space="preserve">SITUATION</w:t>
            </w:r>
          </w:p>
        </w:tc>
        <w:tc>
          <w:tcPr>
            <w:tcW w:type="dxa" w:w="61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D6E8F5"/>
                <w:spacing w:val="40"/>
                <w:sz w:val="19"/>
                <w:szCs w:val="19"/>
              </w:rPr>
              <w:t xml:space="preserve">HOW TO HANDLE IT</w:t>
            </w:r>
          </w:p>
        </w:tc>
      </w:tr>
      <w:tr>
        <w:tc>
          <w:tcPr>
            <w:tcW w:type="dxa" w:w="3200"/>
            <w:tcBorders>
              <w:top w:val="single" w:color="CCCCCC" w:sz="1"/>
              <w:left w:val="single" w:color="CCCCCC" w:sz="1"/>
              <w:bottom w:val="single" w:color="CCCCCC" w:sz="1"/>
              <w:right w:val="single" w:color="CCCCCC" w:sz="1"/>
            </w:tcBorders>
            <w:shd w:fill="F4F7FB" w:val="clear"/>
            <w:tcMar>
              <w:top w:type="dxa" w:w="100"/>
              <w:left w:type="dxa" w:w="120"/>
              <w:bottom w:type="dxa" w:w="100"/>
              <w:right w:type="dxa" w:w="120"/>
            </w:tcMar>
          </w:tcPr>
          <w:p>
            <w:r>
              <w:rPr>
                <w:rFonts w:ascii="Calibri" w:cs="Calibri" w:eastAsia="Calibri" w:hAnsi="Calibri"/>
                <w:b/>
                <w:bCs/>
                <w:color w:val="1A6B9A"/>
                <w:sz w:val="21"/>
                <w:szCs w:val="21"/>
              </w:rPr>
              <w:t xml:space="preserve">Vendor dominates the room</w:t>
            </w:r>
          </w:p>
        </w:tc>
        <w:tc>
          <w:tcPr>
            <w:tcW w:type="dxa" w:w="6160"/>
            <w:tcBorders>
              <w:top w:val="single" w:color="CCCCCC" w:sz="1"/>
              <w:left w:val="single" w:color="CCCCCC" w:sz="1"/>
              <w:bottom w:val="single" w:color="CCCCCC" w:sz="1"/>
              <w:right w:val="single" w:color="CCCCCC" w:sz="1"/>
            </w:tcBorders>
            <w:shd w:fill="F4F7FB" w:val="clear"/>
            <w:tcMar>
              <w:top w:type="dxa" w:w="100"/>
              <w:left w:type="dxa" w:w="120"/>
              <w:bottom w:type="dxa" w:w="100"/>
              <w:right w:type="dxa" w:w="120"/>
            </w:tcMar>
          </w:tcPr>
          <w:p>
            <w:r>
              <w:rPr>
                <w:rFonts w:ascii="Calibri" w:cs="Calibri" w:eastAsia="Calibri" w:hAnsi="Calibri"/>
                <w:color w:val="1A2535"/>
                <w:sz w:val="21"/>
                <w:szCs w:val="21"/>
              </w:rPr>
              <w:t xml:space="preserve">Redirect explicitly. Say: 'Let us hear how the partner would frame this for their clients.' If it happens again, address it directly with the vendor outside the session.</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Calibri" w:cs="Calibri" w:eastAsia="Calibri" w:hAnsi="Calibri"/>
                <w:b/>
                <w:bCs/>
                <w:color w:val="1A6B9A"/>
                <w:sz w:val="21"/>
                <w:szCs w:val="21"/>
              </w:rPr>
              <w:t xml:space="preserve">Partner is passive</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Calibri" w:cs="Calibri" w:eastAsia="Calibri" w:hAnsi="Calibri"/>
                <w:color w:val="1A2535"/>
                <w:sz w:val="21"/>
                <w:szCs w:val="21"/>
              </w:rPr>
              <w:t xml:space="preserve">They may not trust the vendor yet. Offer a vendor-absent session for the next round. Name what you are seeing: 'You seem cautious. Is there something about this conversation that is not working for you?'</w:t>
            </w:r>
          </w:p>
        </w:tc>
      </w:tr>
      <w:tr>
        <w:tc>
          <w:tcPr>
            <w:tcW w:type="dxa" w:w="3200"/>
            <w:tcBorders>
              <w:top w:val="single" w:color="CCCCCC" w:sz="1"/>
              <w:left w:val="single" w:color="CCCCCC" w:sz="1"/>
              <w:bottom w:val="single" w:color="CCCCCC" w:sz="1"/>
              <w:right w:val="single" w:color="CCCCCC" w:sz="1"/>
            </w:tcBorders>
            <w:shd w:fill="F4F7FB" w:val="clear"/>
            <w:tcMar>
              <w:top w:type="dxa" w:w="100"/>
              <w:left w:type="dxa" w:w="120"/>
              <w:bottom w:type="dxa" w:w="100"/>
              <w:right w:type="dxa" w:w="120"/>
            </w:tcMar>
          </w:tcPr>
          <w:p>
            <w:r>
              <w:rPr>
                <w:rFonts w:ascii="Calibri" w:cs="Calibri" w:eastAsia="Calibri" w:hAnsi="Calibri"/>
                <w:b/>
                <w:bCs/>
                <w:color w:val="1A6B9A"/>
                <w:sz w:val="21"/>
                <w:szCs w:val="21"/>
              </w:rPr>
              <w:t xml:space="preserve">Scope creep</w:t>
            </w:r>
          </w:p>
        </w:tc>
        <w:tc>
          <w:tcPr>
            <w:tcW w:type="dxa" w:w="6160"/>
            <w:tcBorders>
              <w:top w:val="single" w:color="CCCCCC" w:sz="1"/>
              <w:left w:val="single" w:color="CCCCCC" w:sz="1"/>
              <w:bottom w:val="single" w:color="CCCCCC" w:sz="1"/>
              <w:right w:val="single" w:color="CCCCCC" w:sz="1"/>
            </w:tcBorders>
            <w:shd w:fill="F4F7FB" w:val="clear"/>
            <w:tcMar>
              <w:top w:type="dxa" w:w="100"/>
              <w:left w:type="dxa" w:w="120"/>
              <w:bottom w:type="dxa" w:w="100"/>
              <w:right w:type="dxa" w:w="120"/>
            </w:tcMar>
          </w:tcPr>
          <w:p>
            <w:r>
              <w:rPr>
                <w:rFonts w:ascii="Calibri" w:cs="Calibri" w:eastAsia="Calibri" w:hAnsi="Calibri"/>
                <w:color w:val="1A2535"/>
                <w:sz w:val="21"/>
                <w:szCs w:val="21"/>
              </w:rPr>
              <w:t xml:space="preserve">Name it early. Say: 'That is important but it sits outside what this engagement produces. Let us note it and move on.' Log it in the Gap Analysis Tracker as a deferred item.</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Calibri" w:cs="Calibri" w:eastAsia="Calibri" w:hAnsi="Calibri"/>
                <w:b/>
                <w:bCs/>
                <w:color w:val="1A6B9A"/>
                <w:sz w:val="21"/>
                <w:szCs w:val="21"/>
              </w:rPr>
              <w:t xml:space="preserve">Decision-maker is absent</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Calibri" w:cs="Calibri" w:eastAsia="Calibri" w:hAnsi="Calibri"/>
                <w:color w:val="1A2535"/>
                <w:sz w:val="21"/>
                <w:szCs w:val="21"/>
              </w:rPr>
              <w:t xml:space="preserve">Stop the session. Reschedule with the right person in the room. A session without decision authority produces outputs that cannot be acted on.</w:t>
            </w:r>
          </w:p>
        </w:tc>
      </w:tr>
      <w:tr>
        <w:tc>
          <w:tcPr>
            <w:tcW w:type="dxa" w:w="3200"/>
            <w:tcBorders>
              <w:top w:val="single" w:color="CCCCCC" w:sz="1"/>
              <w:left w:val="single" w:color="CCCCCC" w:sz="1"/>
              <w:bottom w:val="single" w:color="CCCCCC" w:sz="1"/>
              <w:right w:val="single" w:color="CCCCCC" w:sz="1"/>
            </w:tcBorders>
            <w:shd w:fill="F4F7FB" w:val="clear"/>
            <w:tcMar>
              <w:top w:type="dxa" w:w="100"/>
              <w:left w:type="dxa" w:w="120"/>
              <w:bottom w:type="dxa" w:w="100"/>
              <w:right w:type="dxa" w:w="120"/>
            </w:tcMar>
          </w:tcPr>
          <w:p>
            <w:r>
              <w:rPr>
                <w:rFonts w:ascii="Calibri" w:cs="Calibri" w:eastAsia="Calibri" w:hAnsi="Calibri"/>
                <w:b/>
                <w:bCs/>
                <w:color w:val="1A6B9A"/>
                <w:sz w:val="21"/>
                <w:szCs w:val="21"/>
              </w:rPr>
              <w:t xml:space="preserve">Cultural deference (Japan context)</w:t>
            </w:r>
          </w:p>
        </w:tc>
        <w:tc>
          <w:tcPr>
            <w:tcW w:type="dxa" w:w="6160"/>
            <w:tcBorders>
              <w:top w:val="single" w:color="CCCCCC" w:sz="1"/>
              <w:left w:val="single" w:color="CCCCCC" w:sz="1"/>
              <w:bottom w:val="single" w:color="CCCCCC" w:sz="1"/>
              <w:right w:val="single" w:color="CCCCCC" w:sz="1"/>
            </w:tcBorders>
            <w:shd w:fill="F4F7FB" w:val="clear"/>
            <w:tcMar>
              <w:top w:type="dxa" w:w="100"/>
              <w:left w:type="dxa" w:w="120"/>
              <w:bottom w:type="dxa" w:w="100"/>
              <w:right w:type="dxa" w:w="120"/>
            </w:tcMar>
          </w:tcPr>
          <w:p>
            <w:r>
              <w:rPr>
                <w:rFonts w:ascii="Calibri" w:cs="Calibri" w:eastAsia="Calibri" w:hAnsi="Calibri"/>
                <w:color w:val="1A2535"/>
                <w:sz w:val="21"/>
                <w:szCs w:val="21"/>
              </w:rPr>
              <w:t xml:space="preserve">Build in written pre-work so opinions surface before the room dynamic flattens them. Ask for written responses before the session and reference them in the room rather than asking for live positions.</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Calibri" w:cs="Calibri" w:eastAsia="Calibri" w:hAnsi="Calibri"/>
                <w:b/>
                <w:bCs/>
                <w:color w:val="1A6B9A"/>
                <w:sz w:val="21"/>
                <w:szCs w:val="21"/>
              </w:rPr>
              <w:t xml:space="preserve">Partner and vendor are misaligned</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Calibri" w:cs="Calibri" w:eastAsia="Calibri" w:hAnsi="Calibri"/>
                <w:color w:val="1A2535"/>
                <w:sz w:val="21"/>
                <w:szCs w:val="21"/>
              </w:rPr>
              <w:t xml:space="preserve">Do not mediate in the session. Surface the misalignment clearly, log it, and address it separately with each party. Trying to resolve it in the room usually entrenches both positions.</w:t>
            </w:r>
          </w:p>
        </w:tc>
      </w:tr>
      <w:tr>
        <w:tc>
          <w:tcPr>
            <w:tcW w:type="dxa" w:w="3200"/>
            <w:tcBorders>
              <w:top w:val="single" w:color="CCCCCC" w:sz="1"/>
              <w:left w:val="single" w:color="CCCCCC" w:sz="1"/>
              <w:bottom w:val="single" w:color="CCCCCC" w:sz="1"/>
              <w:right w:val="single" w:color="CCCCCC" w:sz="1"/>
            </w:tcBorders>
            <w:shd w:fill="F4F7FB" w:val="clear"/>
            <w:tcMar>
              <w:top w:type="dxa" w:w="100"/>
              <w:left w:type="dxa" w:w="120"/>
              <w:bottom w:type="dxa" w:w="100"/>
              <w:right w:type="dxa" w:w="120"/>
            </w:tcMar>
          </w:tcPr>
          <w:p>
            <w:r>
              <w:rPr>
                <w:rFonts w:ascii="Calibri" w:cs="Calibri" w:eastAsia="Calibri" w:hAnsi="Calibri"/>
                <w:b/>
                <w:bCs/>
                <w:color w:val="1A6B9A"/>
                <w:sz w:val="21"/>
                <w:szCs w:val="21"/>
              </w:rPr>
              <w:t xml:space="preserve">Engagement is stalling</w:t>
            </w:r>
          </w:p>
        </w:tc>
        <w:tc>
          <w:tcPr>
            <w:tcW w:type="dxa" w:w="6160"/>
            <w:tcBorders>
              <w:top w:val="single" w:color="CCCCCC" w:sz="1"/>
              <w:left w:val="single" w:color="CCCCCC" w:sz="1"/>
              <w:bottom w:val="single" w:color="CCCCCC" w:sz="1"/>
              <w:right w:val="single" w:color="CCCCCC" w:sz="1"/>
            </w:tcBorders>
            <w:shd w:fill="F4F7FB" w:val="clear"/>
            <w:tcMar>
              <w:top w:type="dxa" w:w="100"/>
              <w:left w:type="dxa" w:w="120"/>
              <w:bottom w:type="dxa" w:w="100"/>
              <w:right w:type="dxa" w:w="120"/>
            </w:tcMar>
          </w:tcPr>
          <w:p>
            <w:r>
              <w:rPr>
                <w:rFonts w:ascii="Calibri" w:cs="Calibri" w:eastAsia="Calibri" w:hAnsi="Calibri"/>
                <w:color w:val="1A2535"/>
                <w:sz w:val="21"/>
                <w:szCs w:val="21"/>
              </w:rPr>
              <w:t xml:space="preserve">Name it directly with the partner. Ask: 'What would make it easier to keep this moving?' The answer is usually about internal politics, resource constraints, or trust. Address the actual blocker, not the symptom.</w:t>
            </w:r>
          </w:p>
        </w:tc>
      </w:tr>
    </w:tbl>
    <w:p>
      <w:pPr>
        <w:spacing w:after="0" w:before="2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0D1B2A" w:val="clear"/>
            <w:tcMar>
              <w:top w:type="dxa" w:w="180"/>
              <w:left w:type="dxa" w:w="280"/>
              <w:bottom w:type="dxa" w:w="180"/>
              <w:right w:type="dxa" w:w="280"/>
            </w:tcMar>
          </w:tcPr>
          <w:p>
            <w:r>
              <w:rPr>
                <w:rFonts w:ascii="Calibri" w:cs="Calibri" w:eastAsia="Calibri" w:hAnsi="Calibri"/>
                <w:b/>
                <w:bCs/>
                <w:color w:val="FFFFFF"/>
                <w:sz w:val="28"/>
                <w:szCs w:val="28"/>
              </w:rPr>
              <w:t xml:space="preserve">Section 5: Output Capture Standard</w:t>
            </w:r>
          </w:p>
        </w:tc>
      </w:tr>
    </w:tbl>
    <w:p>
      <w:pPr>
        <w:spacing w:after="0" w:before="160"/>
      </w:pPr>
      <w:r>
        <w:t xml:space="preserve"/>
      </w:r>
    </w:p>
    <w:p>
      <w:pPr>
        <w:spacing w:after="80" w:before="80"/>
      </w:pPr>
      <w:r>
        <w:rPr>
          <w:rFonts w:ascii="Calibri" w:cs="Calibri" w:eastAsia="Calibri" w:hAnsi="Calibri"/>
          <w:b/>
          <w:bCs/>
          <w:color w:val="1A2535"/>
          <w:sz w:val="22"/>
          <w:szCs w:val="22"/>
        </w:rPr>
        <w:t xml:space="preserve">Every session produces a one-page summary within 24 hours. Use this structure for every session regardless of archetype.</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Calibri" w:cs="Calibri" w:eastAsia="Calibri" w:hAnsi="Calibri"/>
                <w:b/>
                <w:bCs/>
                <w:color w:val="1A6B9A"/>
                <w:sz w:val="21"/>
                <w:szCs w:val="21"/>
              </w:rPr>
              <w:t xml:space="preserve">What we covered</w:t>
            </w:r>
          </w:p>
        </w:tc>
        <w:tc>
          <w:tcPr>
            <w:tcW w:type="dxa" w:w="696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Calibri" w:cs="Calibri" w:eastAsia="Calibri" w:hAnsi="Calibri"/>
                <w:color w:val="1A2535"/>
                <w:sz w:val="21"/>
                <w:szCs w:val="21"/>
              </w:rPr>
              <w:t xml:space="preserve">A two or three sentence summary of the session focus. Not a transcript. A synthesis.</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bCs/>
                <w:color w:val="1A6B9A"/>
                <w:sz w:val="21"/>
                <w:szCs w:val="21"/>
              </w:rPr>
              <w:t xml:space="preserve">What was agreed</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color w:val="1A2535"/>
                <w:sz w:val="21"/>
                <w:szCs w:val="21"/>
              </w:rPr>
              <w:t xml:space="preserve">Specific decisions made. If nothing was agreed, say so.</w:t>
            </w:r>
          </w:p>
        </w:tc>
      </w:tr>
      <w:tr>
        <w:tc>
          <w:tcPr>
            <w:tcW w:type="dxa" w:w="24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Calibri" w:cs="Calibri" w:eastAsia="Calibri" w:hAnsi="Calibri"/>
                <w:b/>
                <w:bCs/>
                <w:color w:val="1A6B9A"/>
                <w:sz w:val="21"/>
                <w:szCs w:val="21"/>
              </w:rPr>
              <w:t xml:space="preserve">What is still open</w:t>
            </w:r>
          </w:p>
        </w:tc>
        <w:tc>
          <w:tcPr>
            <w:tcW w:type="dxa" w:w="696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Calibri" w:cs="Calibri" w:eastAsia="Calibri" w:hAnsi="Calibri"/>
                <w:color w:val="1A2535"/>
                <w:sz w:val="21"/>
                <w:szCs w:val="21"/>
              </w:rPr>
              <w:t xml:space="preserve">Questions or decisions that need resolution before the next session.</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b/>
                <w:bCs/>
                <w:color w:val="1A6B9A"/>
                <w:sz w:val="21"/>
                <w:szCs w:val="21"/>
              </w:rPr>
              <w:t xml:space="preserve">Gap Analysis updates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Calibri" w:cs="Calibri" w:eastAsia="Calibri" w:hAnsi="Calibri"/>
                <w:color w:val="1A2535"/>
                <w:sz w:val="21"/>
                <w:szCs w:val="21"/>
              </w:rPr>
              <w:t xml:space="preserve">Any new gaps identified. Update the tracker immediately after writing this.</w:t>
            </w:r>
          </w:p>
        </w:tc>
      </w:tr>
      <w:tr>
        <w:tc>
          <w:tcPr>
            <w:tcW w:type="dxa" w:w="240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Calibri" w:cs="Calibri" w:eastAsia="Calibri" w:hAnsi="Calibri"/>
                <w:b/>
                <w:bCs/>
                <w:color w:val="1A6B9A"/>
                <w:sz w:val="21"/>
                <w:szCs w:val="21"/>
              </w:rPr>
              <w:t xml:space="preserve">Next session</w:t>
            </w:r>
          </w:p>
        </w:tc>
        <w:tc>
          <w:tcPr>
            <w:tcW w:type="dxa" w:w="6960"/>
            <w:tcBorders>
              <w:top w:val="single" w:color="CCCCCC" w:sz="1"/>
              <w:left w:val="single" w:color="CCCCCC" w:sz="1"/>
              <w:bottom w:val="single" w:color="CCCCCC" w:sz="1"/>
              <w:right w:val="single" w:color="CCCCCC" w:sz="1"/>
            </w:tcBorders>
            <w:shd w:fill="D6E8F5" w:val="clear"/>
            <w:tcMar>
              <w:top w:type="dxa" w:w="100"/>
              <w:left w:type="dxa" w:w="140"/>
              <w:bottom w:type="dxa" w:w="100"/>
              <w:right w:type="dxa" w:w="140"/>
            </w:tcMar>
          </w:tcPr>
          <w:p>
            <w:r>
              <w:rPr>
                <w:rFonts w:ascii="Calibri" w:cs="Calibri" w:eastAsia="Calibri" w:hAnsi="Calibri"/>
                <w:color w:val="1A2535"/>
                <w:sz w:val="21"/>
                <w:szCs w:val="21"/>
              </w:rPr>
              <w:t xml:space="preserve">Date, attendees, focus, and any pre-work assigned.</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
        <w:gridCol w:w="9180"/>
      </w:tblGrid>
      <w:tr>
        <w:tc>
          <w:tcPr>
            <w:tcW w:type="dxa" w:w="180"/>
            <w:tcBorders>
              <w:top w:val="single" w:color="CCCCCC" w:sz="1"/>
              <w:left w:val="single" w:color="CCCCCC" w:sz="1"/>
              <w:bottom w:val="single" w:color="CCCCCC" w:sz="1"/>
              <w:right w:val="single" w:color="CCCCCC" w:sz="1"/>
            </w:tcBorders>
            <w:shd w:fill="1A6B9A" w:val="clear"/>
            <w:tcMar>
              <w:top w:type="dxa" w:w="120"/>
              <w:left w:type="dxa" w:w="80"/>
              <w:bottom w:type="dxa" w:w="120"/>
              <w:right w:type="dxa" w:w="80"/>
            </w:tcMar>
          </w:tcPr>
          <w:p>
            <w:pPr>
              <w:jc w:val="center"/>
            </w:pPr>
            <w:r>
              <w:rPr>
                <w:rFonts w:ascii="Calibri" w:cs="Calibri" w:eastAsia="Calibri" w:hAnsi="Calibri"/>
                <w:sz w:val="20"/>
                <w:szCs w:val="20"/>
              </w:rPr>
              <w:t xml:space="preserve"/>
            </w:r>
          </w:p>
        </w:tc>
        <w:tc>
          <w:tcPr>
            <w:tcW w:type="dxa" w:w="9180"/>
            <w:tcBorders>
              <w:top w:val="single" w:color="CCCCCC" w:sz="1"/>
              <w:left w:val="single" w:color="CCCCCC" w:sz="1"/>
              <w:bottom w:val="single" w:color="CCCCCC" w:sz="1"/>
              <w:right w:val="single" w:color="CCCCCC" w:sz="1"/>
            </w:tcBorders>
            <w:shd w:fill="F4F7FB" w:val="clear"/>
            <w:tcMar>
              <w:top w:type="dxa" w:w="120"/>
              <w:left w:type="dxa" w:w="200"/>
              <w:bottom w:type="dxa" w:w="120"/>
              <w:right w:type="dxa" w:w="200"/>
            </w:tcMar>
          </w:tcPr>
          <w:p>
            <w:r>
              <w:rPr>
                <w:rFonts w:ascii="Calibri" w:cs="Calibri" w:eastAsia="Calibri" w:hAnsi="Calibri"/>
                <w:b/>
                <w:bCs/>
                <w:color w:val="1A6B9A"/>
                <w:spacing w:val="40"/>
                <w:sz w:val="18"/>
                <w:szCs w:val="18"/>
              </w:rPr>
              <w:t xml:space="preserve">TIMING</w:t>
            </w:r>
          </w:p>
          <w:p>
            <w:pPr>
              <w:spacing w:after="0" w:before="60"/>
            </w:pPr>
            <w:r>
              <w:rPr>
                <w:rFonts w:ascii="Calibri" w:cs="Calibri" w:eastAsia="Calibri" w:hAnsi="Calibri"/>
                <w:color w:val="1A2535"/>
                <w:sz w:val="21"/>
                <w:szCs w:val="21"/>
              </w:rPr>
              <w:t xml:space="preserve">Write the session summary the same day. Memory fades faster than you expect. The summary is also your primary input to the engagement retrospective at close.</w:t>
            </w:r>
          </w:p>
        </w:tc>
      </w:tr>
    </w:tbl>
    <w:p>
      <w:pPr>
        <w:spacing w:after="0" w:before="400"/>
      </w:pPr>
      <w:r>
        <w:t xml:space="preserve"/>
      </w:r>
    </w:p>
    <w:p>
      <w:pPr>
        <w:pBdr>
          <w:top w:val="single" w:color="0D1B2A" w:sz="12"/>
        </w:pBdr>
        <w:spacing w:after="0" w:before="0"/>
      </w:pPr>
      <w:r>
        <w:t xml:space="preserve"/>
      </w:r>
    </w:p>
    <w:p>
      <w:pPr>
        <w:spacing w:after="0" w:before="160"/>
      </w:pPr>
      <w:r>
        <w:t xml:space="preserve"/>
      </w:r>
    </w:p>
    <w:p>
      <w:pPr>
        <w:spacing w:after="80" w:before="0"/>
      </w:pPr>
      <w:r>
        <w:rPr>
          <w:rFonts w:ascii="Calibri" w:cs="Calibri" w:eastAsia="Calibri" w:hAnsi="Calibri"/>
          <w:b/>
          <w:bCs/>
          <w:color w:val="8CA0B5"/>
          <w:spacing w:val="80"/>
          <w:sz w:val="18"/>
          <w:szCs w:val="18"/>
        </w:rPr>
        <w:t xml:space="preserve">ARCHETYPE VARIANTS</w:t>
      </w:r>
    </w:p>
    <w:p>
      <w:pPr>
        <w:spacing w:after="160" w:before="0"/>
      </w:pPr>
      <w:r>
        <w:rPr>
          <w:rFonts w:ascii="Calibri" w:cs="Calibri" w:eastAsia="Calibri" w:hAnsi="Calibri"/>
          <w:b/>
          <w:bCs/>
          <w:color w:val="0D1B2A"/>
          <w:sz w:val="34"/>
          <w:szCs w:val="34"/>
        </w:rPr>
        <w:t xml:space="preserve">Section 6: Core Discussion Block by Archetype</w:t>
      </w:r>
    </w:p>
    <w:p>
      <w:pPr>
        <w:spacing w:after="80" w:before="80"/>
      </w:pPr>
      <w:r>
        <w:rPr>
          <w:rFonts w:ascii="Calibri" w:cs="Calibri" w:eastAsia="Calibri" w:hAnsi="Calibri"/>
          <w:color w:val="1A2535"/>
          <w:sz w:val="22"/>
          <w:szCs w:val="22"/>
        </w:rPr>
        <w:t xml:space="preserve">Use the version below that matches your engagement. This replaces the minutes 10-40 block in the Standard Session Structure. All other sections of this guide apply regardless of archetype.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
        <w:gridCol w:w="9180"/>
      </w:tblGrid>
      <w:tr>
        <w:tc>
          <w:tcPr>
            <w:tcW w:type="dxa" w:w="180"/>
            <w:tcBorders>
              <w:top w:val="single" w:color="CCCCCC" w:sz="1"/>
              <w:left w:val="single" w:color="CCCCCC" w:sz="1"/>
              <w:bottom w:val="single" w:color="CCCCCC" w:sz="1"/>
              <w:right w:val="single" w:color="CCCCCC" w:sz="1"/>
            </w:tcBorders>
            <w:shd w:fill="1A6B9A" w:val="clear"/>
            <w:tcMar>
              <w:top w:type="dxa" w:w="120"/>
              <w:left w:type="dxa" w:w="80"/>
              <w:bottom w:type="dxa" w:w="120"/>
              <w:right w:type="dxa" w:w="80"/>
            </w:tcMar>
          </w:tcPr>
          <w:p>
            <w:pPr>
              <w:jc w:val="center"/>
            </w:pPr>
            <w:r>
              <w:rPr>
                <w:rFonts w:ascii="Calibri" w:cs="Calibri" w:eastAsia="Calibri" w:hAnsi="Calibri"/>
                <w:sz w:val="20"/>
                <w:szCs w:val="20"/>
              </w:rPr>
              <w:t xml:space="preserve"/>
            </w:r>
          </w:p>
        </w:tc>
        <w:tc>
          <w:tcPr>
            <w:tcW w:type="dxa" w:w="9180"/>
            <w:tcBorders>
              <w:top w:val="single" w:color="CCCCCC" w:sz="1"/>
              <w:left w:val="single" w:color="CCCCCC" w:sz="1"/>
              <w:bottom w:val="single" w:color="CCCCCC" w:sz="1"/>
              <w:right w:val="single" w:color="CCCCCC" w:sz="1"/>
            </w:tcBorders>
            <w:shd w:fill="F4F7FB" w:val="clear"/>
            <w:tcMar>
              <w:top w:type="dxa" w:w="120"/>
              <w:left w:type="dxa" w:w="200"/>
              <w:bottom w:type="dxa" w:w="120"/>
              <w:right w:type="dxa" w:w="200"/>
            </w:tcMar>
          </w:tcPr>
          <w:p>
            <w:r>
              <w:rPr>
                <w:rFonts w:ascii="Calibri" w:cs="Calibri" w:eastAsia="Calibri" w:hAnsi="Calibri"/>
                <w:b/>
                <w:bCs/>
                <w:color w:val="1A6B9A"/>
                <w:spacing w:val="40"/>
                <w:sz w:val="18"/>
                <w:szCs w:val="18"/>
              </w:rPr>
              <w:t xml:space="preserve">HOW TO USE</w:t>
            </w:r>
          </w:p>
          <w:p>
            <w:pPr>
              <w:spacing w:after="0" w:before="60"/>
            </w:pPr>
            <w:r>
              <w:rPr>
                <w:rFonts w:ascii="Calibri" w:cs="Calibri" w:eastAsia="Calibri" w:hAnsi="Calibri"/>
                <w:color w:val="1A2535"/>
                <w:sz w:val="21"/>
                <w:szCs w:val="21"/>
              </w:rPr>
              <w:t xml:space="preserve">Read the relevant archetype block before each session. These are not scripts. They are prompts for the questions you need answered and signals for what good looks like. Adapt them to the conversation in the room.</w:t>
            </w:r>
          </w:p>
        </w:tc>
      </w:tr>
    </w:tbl>
    <w:p>
      <w:pPr>
        <w:spacing w:after="0"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9A" w:val="clear"/>
            <w:tcMar>
              <w:top w:type="dxa" w:w="140"/>
              <w:left w:type="dxa" w:w="280"/>
              <w:bottom w:type="dxa" w:w="140"/>
              <w:right w:type="dxa" w:w="280"/>
            </w:tcMar>
          </w:tcPr>
          <w:p>
            <w:r>
              <w:rPr>
                <w:rFonts w:ascii="Calibri" w:cs="Calibri" w:eastAsia="Calibri" w:hAnsi="Calibri"/>
                <w:b/>
                <w:bCs/>
                <w:color w:val="FFFFFF"/>
                <w:sz w:val="24"/>
                <w:szCs w:val="24"/>
              </w:rPr>
              <w:t xml:space="preserve">Archetype 1: Classic Enterprise Cyber</w:t>
            </w:r>
          </w:p>
          <w:p>
            <w:pPr>
              <w:spacing w:after="0" w:before="30"/>
            </w:pPr>
            <w:r>
              <w:rPr>
                <w:rFonts w:ascii="Calibri" w:cs="Calibri" w:eastAsia="Calibri" w:hAnsi="Calibri"/>
                <w:i/>
                <w:iCs/>
                <w:color w:val="D6E8F5"/>
                <w:sz w:val="19"/>
                <w:szCs w:val="19"/>
              </w:rPr>
              <w:t xml:space="preserve">e.g. Mimic and similar established security vendors</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280"/>
              <w:bottom w:type="dxa" w:w="100"/>
              <w:right w:type="dxa" w:w="280"/>
            </w:tcMar>
          </w:tcPr>
          <w:p>
            <w:r>
              <w:rPr>
                <w:rFonts w:ascii="Calibri" w:cs="Calibri" w:eastAsia="Calibri" w:hAnsi="Calibri"/>
                <w:b/>
                <w:bCs/>
                <w:color w:val="1A2535"/>
                <w:sz w:val="22"/>
                <w:szCs w:val="22"/>
              </w:rPr>
              <w:t xml:space="preserve">What does the partner's client think they are buying, and what are they actually buying?</w:t>
            </w:r>
          </w:p>
          <w:p>
            <w:pPr>
              <w:spacing w:after="0" w:before="40"/>
            </w:pPr>
            <w:r>
              <w:rPr>
                <w:rFonts w:ascii="Calibri" w:cs="Calibri" w:eastAsia="Calibri" w:hAnsi="Calibri"/>
                <w:i/>
                <w:iCs/>
                <w:color w:val="4A5568"/>
                <w:sz w:val="20"/>
                <w:szCs w:val="20"/>
              </w:rPr>
              <w:t xml:space="preserve">Listen for gaps between vendor positioning and client expectation. This is where deals later break down.</w:t>
            </w:r>
          </w:p>
        </w:tc>
      </w:tr>
      <w:tr>
        <w:tc>
          <w:tcPr>
            <w:tcW w:type="dxa" w:w="9360"/>
            <w:tcBorders>
              <w:top w:val="single" w:color="CCCCCC" w:sz="1"/>
              <w:left w:val="single" w:color="CCCCCC" w:sz="1"/>
              <w:bottom w:val="single" w:color="CCCCCC" w:sz="1"/>
              <w:right w:val="single" w:color="CCCCCC" w:sz="1"/>
            </w:tcBorders>
            <w:shd w:fill="F4F7FB" w:val="clear"/>
            <w:tcMar>
              <w:top w:type="dxa" w:w="100"/>
              <w:left w:type="dxa" w:w="280"/>
              <w:bottom w:type="dxa" w:w="100"/>
              <w:right w:type="dxa" w:w="280"/>
            </w:tcMar>
          </w:tcPr>
          <w:p>
            <w:r>
              <w:rPr>
                <w:rFonts w:ascii="Calibri" w:cs="Calibri" w:eastAsia="Calibri" w:hAnsi="Calibri"/>
                <w:b/>
                <w:bCs/>
                <w:color w:val="1A2535"/>
                <w:sz w:val="22"/>
                <w:szCs w:val="22"/>
              </w:rPr>
              <w:t xml:space="preserve">Where does the vendor's standard demo or pitch fall flat in this partner's specific client conversations?</w:t>
            </w:r>
          </w:p>
          <w:p>
            <w:pPr>
              <w:spacing w:after="0" w:before="40"/>
            </w:pPr>
            <w:r>
              <w:rPr>
                <w:rFonts w:ascii="Calibri" w:cs="Calibri" w:eastAsia="Calibri" w:hAnsi="Calibri"/>
                <w:i/>
                <w:iCs/>
                <w:color w:val="4A5568"/>
                <w:sz w:val="20"/>
                <w:szCs w:val="20"/>
              </w:rPr>
              <w:t xml:space="preserve">Not what the vendor thinks the objections are. What the partner actually hears.</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280"/>
              <w:bottom w:type="dxa" w:w="100"/>
              <w:right w:type="dxa" w:w="280"/>
            </w:tcMar>
          </w:tcPr>
          <w:p>
            <w:r>
              <w:rPr>
                <w:rFonts w:ascii="Calibri" w:cs="Calibri" w:eastAsia="Calibri" w:hAnsi="Calibri"/>
                <w:b/>
                <w:bCs/>
                <w:color w:val="1A2535"/>
                <w:sz w:val="22"/>
                <w:szCs w:val="22"/>
              </w:rPr>
              <w:t xml:space="preserve">What proof points land with this partner's clients, and what feels imported from another market?</w:t>
            </w:r>
          </w:p>
          <w:p>
            <w:pPr>
              <w:spacing w:after="0" w:before="40"/>
            </w:pPr>
            <w:r>
              <w:rPr>
                <w:rFonts w:ascii="Calibri" w:cs="Calibri" w:eastAsia="Calibri" w:hAnsi="Calibri"/>
                <w:i/>
                <w:iCs/>
                <w:color w:val="4A5568"/>
                <w:sz w:val="20"/>
                <w:szCs w:val="20"/>
              </w:rPr>
              <w:t xml:space="preserve">APJ clients often respond to different evidence than US or EMEA references. Surface this explicitly.</w:t>
            </w:r>
          </w:p>
        </w:tc>
      </w:tr>
      <w:tr>
        <w:tc>
          <w:tcPr>
            <w:tcW w:type="dxa" w:w="9360"/>
            <w:tcBorders>
              <w:top w:val="single" w:color="CCCCCC" w:sz="1"/>
              <w:left w:val="single" w:color="CCCCCC" w:sz="1"/>
              <w:bottom w:val="single" w:color="CCCCCC" w:sz="1"/>
              <w:right w:val="single" w:color="CCCCCC" w:sz="1"/>
            </w:tcBorders>
            <w:shd w:fill="F4F7FB" w:val="clear"/>
            <w:tcMar>
              <w:top w:type="dxa" w:w="100"/>
              <w:left w:type="dxa" w:w="280"/>
              <w:bottom w:type="dxa" w:w="100"/>
              <w:right w:type="dxa" w:w="280"/>
            </w:tcMar>
          </w:tcPr>
          <w:p>
            <w:r>
              <w:rPr>
                <w:rFonts w:ascii="Calibri" w:cs="Calibri" w:eastAsia="Calibri" w:hAnsi="Calibri"/>
                <w:b/>
                <w:bCs/>
                <w:color w:val="1A2535"/>
                <w:sz w:val="22"/>
                <w:szCs w:val="22"/>
              </w:rPr>
              <w:t xml:space="preserve">What does a successful first deployment look like, and who owns it on the client side?</w:t>
            </w:r>
          </w:p>
          <w:p>
            <w:pPr>
              <w:spacing w:after="0" w:before="40"/>
            </w:pPr>
            <w:r>
              <w:rPr>
                <w:rFonts w:ascii="Calibri" w:cs="Calibri" w:eastAsia="Calibri" w:hAnsi="Calibri"/>
                <w:i/>
                <w:iCs/>
                <w:color w:val="4A5568"/>
                <w:sz w:val="20"/>
                <w:szCs w:val="20"/>
              </w:rPr>
              <w:t xml:space="preserve">A methodology that cannot describe a concrete first win is not ready to go to market.</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9A" w:val="clear"/>
            <w:tcMar>
              <w:top w:type="dxa" w:w="140"/>
              <w:left w:type="dxa" w:w="280"/>
              <w:bottom w:type="dxa" w:w="140"/>
              <w:right w:type="dxa" w:w="280"/>
            </w:tcMar>
          </w:tcPr>
          <w:p>
            <w:r>
              <w:rPr>
                <w:rFonts w:ascii="Calibri" w:cs="Calibri" w:eastAsia="Calibri" w:hAnsi="Calibri"/>
                <w:b/>
                <w:bCs/>
                <w:color w:val="FFFFFF"/>
                <w:sz w:val="24"/>
                <w:szCs w:val="24"/>
              </w:rPr>
              <w:t xml:space="preserve">Archetype 2: Industrial / OT / IIoT</w:t>
            </w:r>
          </w:p>
          <w:p>
            <w:pPr>
              <w:spacing w:after="0" w:before="30"/>
            </w:pPr>
            <w:r>
              <w:rPr>
                <w:rFonts w:ascii="Calibri" w:cs="Calibri" w:eastAsia="Calibri" w:hAnsi="Calibri"/>
                <w:i/>
                <w:iCs/>
                <w:color w:val="D6E8F5"/>
                <w:sz w:val="19"/>
                <w:szCs w:val="19"/>
              </w:rPr>
              <w:t xml:space="preserve">e.g. WI-SUN Alliance, Toyota Tsusho context</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280"/>
              <w:bottom w:type="dxa" w:w="100"/>
              <w:right w:type="dxa" w:w="280"/>
            </w:tcMar>
          </w:tcPr>
          <w:p>
            <w:r>
              <w:rPr>
                <w:rFonts w:ascii="Calibri" w:cs="Calibri" w:eastAsia="Calibri" w:hAnsi="Calibri"/>
                <w:b/>
                <w:bCs/>
                <w:color w:val="1A2535"/>
                <w:sz w:val="22"/>
                <w:szCs w:val="22"/>
              </w:rPr>
              <w:t xml:space="preserve">Who is the actual buyer in this conversation: IT security, OT engineering, or procurement?</w:t>
            </w:r>
          </w:p>
          <w:p>
            <w:pPr>
              <w:spacing w:after="0" w:before="40"/>
            </w:pPr>
            <w:r>
              <w:rPr>
                <w:rFonts w:ascii="Calibri" w:cs="Calibri" w:eastAsia="Calibri" w:hAnsi="Calibri"/>
                <w:i/>
                <w:iCs/>
                <w:color w:val="4A5568"/>
                <w:sz w:val="20"/>
                <w:szCs w:val="20"/>
              </w:rPr>
              <w:t xml:space="preserve">If the partner does not know, the methodology has no entry point. This must be resolved before Session 3.</w:t>
            </w:r>
          </w:p>
        </w:tc>
      </w:tr>
      <w:tr>
        <w:tc>
          <w:tcPr>
            <w:tcW w:type="dxa" w:w="9360"/>
            <w:tcBorders>
              <w:top w:val="single" w:color="CCCCCC" w:sz="1"/>
              <w:left w:val="single" w:color="CCCCCC" w:sz="1"/>
              <w:bottom w:val="single" w:color="CCCCCC" w:sz="1"/>
              <w:right w:val="single" w:color="CCCCCC" w:sz="1"/>
            </w:tcBorders>
            <w:shd w:fill="F4F7FB" w:val="clear"/>
            <w:tcMar>
              <w:top w:type="dxa" w:w="100"/>
              <w:left w:type="dxa" w:w="280"/>
              <w:bottom w:type="dxa" w:w="100"/>
              <w:right w:type="dxa" w:w="280"/>
            </w:tcMar>
          </w:tcPr>
          <w:p>
            <w:r>
              <w:rPr>
                <w:rFonts w:ascii="Calibri" w:cs="Calibri" w:eastAsia="Calibri" w:hAnsi="Calibri"/>
                <w:b/>
                <w:bCs/>
                <w:color w:val="1A2535"/>
                <w:sz w:val="22"/>
                <w:szCs w:val="22"/>
              </w:rPr>
              <w:t xml:space="preserve">What is the consequence of a security failure in this client's OT environment, in operational terms, not security terms?</w:t>
            </w:r>
          </w:p>
          <w:p>
            <w:pPr>
              <w:spacing w:after="0" w:before="40"/>
            </w:pPr>
            <w:r>
              <w:rPr>
                <w:rFonts w:ascii="Calibri" w:cs="Calibri" w:eastAsia="Calibri" w:hAnsi="Calibri"/>
                <w:i/>
                <w:iCs/>
                <w:color w:val="4A5568"/>
                <w:sz w:val="20"/>
                <w:szCs w:val="20"/>
              </w:rPr>
              <w:t xml:space="preserve">Production downtime, supply chain disruption, regulatory penalty. Find the language that moves the OT buyer.</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280"/>
              <w:bottom w:type="dxa" w:w="100"/>
              <w:right w:type="dxa" w:w="280"/>
            </w:tcMar>
          </w:tcPr>
          <w:p>
            <w:r>
              <w:rPr>
                <w:rFonts w:ascii="Calibri" w:cs="Calibri" w:eastAsia="Calibri" w:hAnsi="Calibri"/>
                <w:b/>
                <w:bCs/>
                <w:color w:val="1A2535"/>
                <w:sz w:val="22"/>
                <w:szCs w:val="22"/>
              </w:rPr>
              <w:t xml:space="preserve">What existing OT relationships does this partner have that the vendor needs to understand and respect?</w:t>
            </w:r>
          </w:p>
          <w:p>
            <w:pPr>
              <w:spacing w:after="0" w:before="40"/>
            </w:pPr>
            <w:r>
              <w:rPr>
                <w:rFonts w:ascii="Calibri" w:cs="Calibri" w:eastAsia="Calibri" w:hAnsi="Calibri"/>
                <w:i/>
                <w:iCs/>
                <w:color w:val="4A5568"/>
                <w:sz w:val="20"/>
                <w:szCs w:val="20"/>
              </w:rPr>
              <w:t xml:space="preserve">OT vendors and system integrators already in the environment. Stepping on these relationships kills deals.</w:t>
            </w:r>
          </w:p>
        </w:tc>
      </w:tr>
      <w:tr>
        <w:tc>
          <w:tcPr>
            <w:tcW w:type="dxa" w:w="9360"/>
            <w:tcBorders>
              <w:top w:val="single" w:color="CCCCCC" w:sz="1"/>
              <w:left w:val="single" w:color="CCCCCC" w:sz="1"/>
              <w:bottom w:val="single" w:color="CCCCCC" w:sz="1"/>
              <w:right w:val="single" w:color="CCCCCC" w:sz="1"/>
            </w:tcBorders>
            <w:shd w:fill="F4F7FB" w:val="clear"/>
            <w:tcMar>
              <w:top w:type="dxa" w:w="100"/>
              <w:left w:type="dxa" w:w="280"/>
              <w:bottom w:type="dxa" w:w="100"/>
              <w:right w:type="dxa" w:w="280"/>
            </w:tcMar>
          </w:tcPr>
          <w:p>
            <w:r>
              <w:rPr>
                <w:rFonts w:ascii="Calibri" w:cs="Calibri" w:eastAsia="Calibri" w:hAnsi="Calibri"/>
                <w:b/>
                <w:bCs/>
                <w:color w:val="1A2535"/>
                <w:sz w:val="22"/>
                <w:szCs w:val="22"/>
              </w:rPr>
              <w:t xml:space="preserve">What does the partner need to be credible in an OT room that they do not currently have?</w:t>
            </w:r>
          </w:p>
          <w:p>
            <w:pPr>
              <w:spacing w:after="0" w:before="40"/>
            </w:pPr>
            <w:r>
              <w:rPr>
                <w:rFonts w:ascii="Calibri" w:cs="Calibri" w:eastAsia="Calibri" w:hAnsi="Calibri"/>
                <w:i/>
                <w:iCs/>
                <w:color w:val="4A5568"/>
                <w:sz w:val="20"/>
                <w:szCs w:val="20"/>
              </w:rPr>
              <w:t xml:space="preserve">Technical references, OT-specific certifications, architecture documentation. Log gaps immediately.</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9A" w:val="clear"/>
            <w:tcMar>
              <w:top w:type="dxa" w:w="140"/>
              <w:left w:type="dxa" w:w="280"/>
              <w:bottom w:type="dxa" w:w="140"/>
              <w:right w:type="dxa" w:w="280"/>
            </w:tcMar>
          </w:tcPr>
          <w:p>
            <w:r>
              <w:rPr>
                <w:rFonts w:ascii="Calibri" w:cs="Calibri" w:eastAsia="Calibri" w:hAnsi="Calibri"/>
                <w:b/>
                <w:bCs/>
                <w:color w:val="FFFFFF"/>
                <w:sz w:val="24"/>
                <w:szCs w:val="24"/>
              </w:rPr>
              <w:t xml:space="preserve">Archetype 3: Emerging / Sensitive AI</w:t>
            </w:r>
          </w:p>
          <w:p>
            <w:pPr>
              <w:spacing w:after="0" w:before="30"/>
            </w:pPr>
            <w:r>
              <w:rPr>
                <w:rFonts w:ascii="Calibri" w:cs="Calibri" w:eastAsia="Calibri" w:hAnsi="Calibri"/>
                <w:i/>
                <w:iCs/>
                <w:color w:val="D6E8F5"/>
                <w:sz w:val="19"/>
                <w:szCs w:val="19"/>
              </w:rPr>
              <w:t xml:space="preserve">e.g. WitnessAI and AI governance vendors</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280"/>
              <w:bottom w:type="dxa" w:w="100"/>
              <w:right w:type="dxa" w:w="280"/>
            </w:tcMar>
          </w:tcPr>
          <w:p>
            <w:r>
              <w:rPr>
                <w:rFonts w:ascii="Calibri" w:cs="Calibri" w:eastAsia="Calibri" w:hAnsi="Calibri"/>
                <w:b/>
                <w:bCs/>
                <w:color w:val="1A2535"/>
                <w:sz w:val="22"/>
                <w:szCs w:val="22"/>
              </w:rPr>
              <w:t xml:space="preserve">What is the partner's honest read on client appetite for AI-related products in their specific market right now?</w:t>
            </w:r>
          </w:p>
          <w:p>
            <w:pPr>
              <w:spacing w:after="0" w:before="40"/>
            </w:pPr>
            <w:r>
              <w:rPr>
                <w:rFonts w:ascii="Calibri" w:cs="Calibri" w:eastAsia="Calibri" w:hAnsi="Calibri"/>
                <w:i/>
                <w:iCs/>
                <w:color w:val="4A5568"/>
                <w:sz w:val="20"/>
                <w:szCs w:val="20"/>
              </w:rPr>
              <w:t xml:space="preserve">Japan FSI appetite for AI products is highly variable. Do not assume the vendor's global pipeline reflects local reality.</w:t>
            </w:r>
          </w:p>
        </w:tc>
      </w:tr>
      <w:tr>
        <w:tc>
          <w:tcPr>
            <w:tcW w:type="dxa" w:w="9360"/>
            <w:tcBorders>
              <w:top w:val="single" w:color="CCCCCC" w:sz="1"/>
              <w:left w:val="single" w:color="CCCCCC" w:sz="1"/>
              <w:bottom w:val="single" w:color="CCCCCC" w:sz="1"/>
              <w:right w:val="single" w:color="CCCCCC" w:sz="1"/>
            </w:tcBorders>
            <w:shd w:fill="F4F7FB" w:val="clear"/>
            <w:tcMar>
              <w:top w:type="dxa" w:w="100"/>
              <w:left w:type="dxa" w:w="280"/>
              <w:bottom w:type="dxa" w:w="100"/>
              <w:right w:type="dxa" w:w="280"/>
            </w:tcMar>
          </w:tcPr>
          <w:p>
            <w:r>
              <w:rPr>
                <w:rFonts w:ascii="Calibri" w:cs="Calibri" w:eastAsia="Calibri" w:hAnsi="Calibri"/>
                <w:b/>
                <w:bCs/>
                <w:color w:val="1A2535"/>
                <w:sz w:val="22"/>
                <w:szCs w:val="22"/>
              </w:rPr>
              <w:t xml:space="preserve">Where does data residency or sovereignty become a concrete blocker, not a theoretical concern?</w:t>
            </w:r>
          </w:p>
          <w:p>
            <w:pPr>
              <w:spacing w:after="0" w:before="40"/>
            </w:pPr>
            <w:r>
              <w:rPr>
                <w:rFonts w:ascii="Calibri" w:cs="Calibri" w:eastAsia="Calibri" w:hAnsi="Calibri"/>
                <w:i/>
                <w:iCs/>
                <w:color w:val="4A5568"/>
                <w:sz w:val="20"/>
                <w:szCs w:val="20"/>
              </w:rPr>
              <w:t xml:space="preserve">Get specific. Which data, which systems, which regulators. Vague answers here will produce a methodology that fails in real conversations.</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280"/>
              <w:bottom w:type="dxa" w:w="100"/>
              <w:right w:type="dxa" w:w="280"/>
            </w:tcMar>
          </w:tcPr>
          <w:p>
            <w:r>
              <w:rPr>
                <w:rFonts w:ascii="Calibri" w:cs="Calibri" w:eastAsia="Calibri" w:hAnsi="Calibri"/>
                <w:b/>
                <w:bCs/>
                <w:color w:val="1A2535"/>
                <w:sz w:val="22"/>
                <w:szCs w:val="22"/>
              </w:rPr>
              <w:t xml:space="preserve">What regulatory conversations is the partner already having that this vendor's story could plug into?</w:t>
            </w:r>
          </w:p>
          <w:p>
            <w:pPr>
              <w:spacing w:after="0" w:before="40"/>
            </w:pPr>
            <w:r>
              <w:rPr>
                <w:rFonts w:ascii="Calibri" w:cs="Calibri" w:eastAsia="Calibri" w:hAnsi="Calibri"/>
                <w:i/>
                <w:iCs/>
                <w:color w:val="4A5568"/>
                <w:sz w:val="20"/>
                <w:szCs w:val="20"/>
              </w:rPr>
              <w:t xml:space="preserve">APPI, FSA AI guidance, FISC. If the partner is not already having these conversations, the entry point strategy needs rethinking.</w:t>
            </w:r>
          </w:p>
        </w:tc>
      </w:tr>
      <w:tr>
        <w:tc>
          <w:tcPr>
            <w:tcW w:type="dxa" w:w="9360"/>
            <w:tcBorders>
              <w:top w:val="single" w:color="CCCCCC" w:sz="1"/>
              <w:left w:val="single" w:color="CCCCCC" w:sz="1"/>
              <w:bottom w:val="single" w:color="CCCCCC" w:sz="1"/>
              <w:right w:val="single" w:color="CCCCCC" w:sz="1"/>
            </w:tcBorders>
            <w:shd w:fill="F4F7FB" w:val="clear"/>
            <w:tcMar>
              <w:top w:type="dxa" w:w="100"/>
              <w:left w:type="dxa" w:w="280"/>
              <w:bottom w:type="dxa" w:w="100"/>
              <w:right w:type="dxa" w:w="280"/>
            </w:tcMar>
          </w:tcPr>
          <w:p>
            <w:r>
              <w:rPr>
                <w:rFonts w:ascii="Calibri" w:cs="Calibri" w:eastAsia="Calibri" w:hAnsi="Calibri"/>
                <w:b/>
                <w:bCs/>
                <w:color w:val="1A2535"/>
                <w:sz w:val="22"/>
                <w:szCs w:val="22"/>
              </w:rPr>
              <w:t xml:space="preserve">What would need to be true about the vendor's data handling and governance posture for this story to be safe to tell in a Japanese FSI context?</w:t>
            </w:r>
          </w:p>
          <w:p>
            <w:pPr>
              <w:spacing w:after="0" w:before="40"/>
            </w:pPr>
            <w:r>
              <w:rPr>
                <w:rFonts w:ascii="Calibri" w:cs="Calibri" w:eastAsia="Calibri" w:hAnsi="Calibri"/>
                <w:i/>
                <w:iCs/>
                <w:color w:val="4A5568"/>
                <w:sz w:val="20"/>
                <w:szCs w:val="20"/>
              </w:rPr>
              <w:t xml:space="preserve">This question often surfaces vendor gaps that need to be resolved before the methodology goes to market.</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9A" w:val="clear"/>
            <w:tcMar>
              <w:top w:type="dxa" w:w="140"/>
              <w:left w:type="dxa" w:w="280"/>
              <w:bottom w:type="dxa" w:w="140"/>
              <w:right w:type="dxa" w:w="280"/>
            </w:tcMar>
          </w:tcPr>
          <w:p>
            <w:r>
              <w:rPr>
                <w:rFonts w:ascii="Calibri" w:cs="Calibri" w:eastAsia="Calibri" w:hAnsi="Calibri"/>
                <w:b/>
                <w:bCs/>
                <w:color w:val="FFFFFF"/>
                <w:sz w:val="24"/>
                <w:szCs w:val="24"/>
              </w:rPr>
              <w:t xml:space="preserve">Archetype 4: PKI / PQC / Crypto Lifecycle</w:t>
            </w:r>
          </w:p>
          <w:p>
            <w:pPr>
              <w:spacing w:after="0" w:before="30"/>
            </w:pPr>
            <w:r>
              <w:rPr>
                <w:rFonts w:ascii="Calibri" w:cs="Calibri" w:eastAsia="Calibri" w:hAnsi="Calibri"/>
                <w:i/>
                <w:iCs/>
                <w:color w:val="D6E8F5"/>
                <w:sz w:val="19"/>
                <w:szCs w:val="19"/>
              </w:rPr>
              <w:t xml:space="preserve">e.g. Keyfactor, OmniTrust</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280"/>
              <w:bottom w:type="dxa" w:w="100"/>
              <w:right w:type="dxa" w:w="280"/>
            </w:tcMar>
          </w:tcPr>
          <w:p>
            <w:r>
              <w:rPr>
                <w:rFonts w:ascii="Calibri" w:cs="Calibri" w:eastAsia="Calibri" w:hAnsi="Calibri"/>
                <w:b/>
                <w:bCs/>
                <w:color w:val="1A2535"/>
                <w:sz w:val="22"/>
                <w:szCs w:val="22"/>
              </w:rPr>
              <w:t xml:space="preserve">How technically mature is the partner's client base on certificate management and cryptographic infrastructure today?</w:t>
            </w:r>
          </w:p>
          <w:p>
            <w:pPr>
              <w:spacing w:after="0" w:before="40"/>
            </w:pPr>
            <w:r>
              <w:rPr>
                <w:rFonts w:ascii="Calibri" w:cs="Calibri" w:eastAsia="Calibri" w:hAnsi="Calibri"/>
                <w:i/>
                <w:iCs/>
                <w:color w:val="4A5568"/>
                <w:sz w:val="20"/>
                <w:szCs w:val="20"/>
              </w:rPr>
              <w:t xml:space="preserve">Clients who have never run a certificate inventory need a different entry point than those who have had a cert-related outage.</w:t>
            </w:r>
          </w:p>
        </w:tc>
      </w:tr>
      <w:tr>
        <w:tc>
          <w:tcPr>
            <w:tcW w:type="dxa" w:w="9360"/>
            <w:tcBorders>
              <w:top w:val="single" w:color="CCCCCC" w:sz="1"/>
              <w:left w:val="single" w:color="CCCCCC" w:sz="1"/>
              <w:bottom w:val="single" w:color="CCCCCC" w:sz="1"/>
              <w:right w:val="single" w:color="CCCCCC" w:sz="1"/>
            </w:tcBorders>
            <w:shd w:fill="F4F7FB" w:val="clear"/>
            <w:tcMar>
              <w:top w:type="dxa" w:w="100"/>
              <w:left w:type="dxa" w:w="280"/>
              <w:bottom w:type="dxa" w:w="100"/>
              <w:right w:type="dxa" w:w="280"/>
            </w:tcMar>
          </w:tcPr>
          <w:p>
            <w:r>
              <w:rPr>
                <w:rFonts w:ascii="Calibri" w:cs="Calibri" w:eastAsia="Calibri" w:hAnsi="Calibri"/>
                <w:b/>
                <w:bCs/>
                <w:color w:val="1A2535"/>
                <w:sz w:val="22"/>
                <w:szCs w:val="22"/>
              </w:rPr>
              <w:t xml:space="preserve">Is the PQC conversation being driven by external regulation, internal risk appetite, or is it not happening yet?</w:t>
            </w:r>
          </w:p>
          <w:p>
            <w:pPr>
              <w:spacing w:after="0" w:before="40"/>
            </w:pPr>
            <w:r>
              <w:rPr>
                <w:rFonts w:ascii="Calibri" w:cs="Calibri" w:eastAsia="Calibri" w:hAnsi="Calibri"/>
                <w:i/>
                <w:iCs/>
                <w:color w:val="4A5568"/>
                <w:sz w:val="20"/>
                <w:szCs w:val="20"/>
              </w:rPr>
              <w:t xml:space="preserve">JFSA and G7 timelines are real but not universally understood. Find out where the client actually sits.</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280"/>
              <w:bottom w:type="dxa" w:w="100"/>
              <w:right w:type="dxa" w:w="280"/>
            </w:tcMar>
          </w:tcPr>
          <w:p>
            <w:r>
              <w:rPr>
                <w:rFonts w:ascii="Calibri" w:cs="Calibri" w:eastAsia="Calibri" w:hAnsi="Calibri"/>
                <w:b/>
                <w:bCs/>
                <w:color w:val="1A2535"/>
                <w:sz w:val="22"/>
                <w:szCs w:val="22"/>
              </w:rPr>
              <w:t xml:space="preserve">What does the partner need to be able to explain quantum risk to a non-technical executive without losing the room?</w:t>
            </w:r>
          </w:p>
          <w:p>
            <w:pPr>
              <w:spacing w:after="0" w:before="40"/>
            </w:pPr>
            <w:r>
              <w:rPr>
                <w:rFonts w:ascii="Calibri" w:cs="Calibri" w:eastAsia="Calibri" w:hAnsi="Calibri"/>
                <w:i/>
                <w:iCs/>
                <w:color w:val="4A5568"/>
                <w:sz w:val="20"/>
                <w:szCs w:val="20"/>
              </w:rPr>
              <w:t xml:space="preserve">The executive narrative is often the biggest gap. Log it if the vendor cannot provide one.</w:t>
            </w:r>
          </w:p>
        </w:tc>
      </w:tr>
      <w:tr>
        <w:tc>
          <w:tcPr>
            <w:tcW w:type="dxa" w:w="9360"/>
            <w:tcBorders>
              <w:top w:val="single" w:color="CCCCCC" w:sz="1"/>
              <w:left w:val="single" w:color="CCCCCC" w:sz="1"/>
              <w:bottom w:val="single" w:color="CCCCCC" w:sz="1"/>
              <w:right w:val="single" w:color="CCCCCC" w:sz="1"/>
            </w:tcBorders>
            <w:shd w:fill="F4F7FB" w:val="clear"/>
            <w:tcMar>
              <w:top w:type="dxa" w:w="100"/>
              <w:left w:type="dxa" w:w="280"/>
              <w:bottom w:type="dxa" w:w="100"/>
              <w:right w:type="dxa" w:w="280"/>
            </w:tcMar>
          </w:tcPr>
          <w:p>
            <w:r>
              <w:rPr>
                <w:rFonts w:ascii="Calibri" w:cs="Calibri" w:eastAsia="Calibri" w:hAnsi="Calibri"/>
                <w:b/>
                <w:bCs/>
                <w:color w:val="1A2535"/>
                <w:sz w:val="22"/>
                <w:szCs w:val="22"/>
              </w:rPr>
              <w:t xml:space="preserve">Where are the quick wins that build credibility and momentum before the full PQC roadmap conversation?</w:t>
            </w:r>
          </w:p>
          <w:p>
            <w:pPr>
              <w:spacing w:after="0" w:before="40"/>
            </w:pPr>
            <w:r>
              <w:rPr>
                <w:rFonts w:ascii="Calibri" w:cs="Calibri" w:eastAsia="Calibri" w:hAnsi="Calibri"/>
                <w:i/>
                <w:iCs/>
                <w:color w:val="4A5568"/>
                <w:sz w:val="20"/>
                <w:szCs w:val="20"/>
              </w:rPr>
              <w:t xml:space="preserve">Certificate discovery and visibility are usually the most accessible entry points. Confirm whether the partner can lead that conversation today.</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9A" w:val="clear"/>
            <w:tcMar>
              <w:top w:type="dxa" w:w="140"/>
              <w:left w:type="dxa" w:w="280"/>
              <w:bottom w:type="dxa" w:w="140"/>
              <w:right w:type="dxa" w:w="280"/>
            </w:tcMar>
          </w:tcPr>
          <w:p>
            <w:r>
              <w:rPr>
                <w:rFonts w:ascii="Calibri" w:cs="Calibri" w:eastAsia="Calibri" w:hAnsi="Calibri"/>
                <w:b/>
                <w:bCs/>
                <w:color w:val="FFFFFF"/>
                <w:sz w:val="24"/>
                <w:szCs w:val="24"/>
              </w:rPr>
              <w:t xml:space="preserve">Archetype 5: Remediation / Hygiene at Scale</w:t>
            </w:r>
          </w:p>
          <w:p>
            <w:pPr>
              <w:spacing w:after="0" w:before="30"/>
            </w:pPr>
            <w:r>
              <w:rPr>
                <w:rFonts w:ascii="Calibri" w:cs="Calibri" w:eastAsia="Calibri" w:hAnsi="Calibri"/>
                <w:i/>
                <w:iCs/>
                <w:color w:val="D6E8F5"/>
                <w:sz w:val="19"/>
                <w:szCs w:val="19"/>
              </w:rPr>
              <w:t xml:space="preserve">e.g. Northern Tech Mender</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280"/>
              <w:bottom w:type="dxa" w:w="100"/>
              <w:right w:type="dxa" w:w="280"/>
            </w:tcMar>
          </w:tcPr>
          <w:p>
            <w:r>
              <w:rPr>
                <w:rFonts w:ascii="Calibri" w:cs="Calibri" w:eastAsia="Calibri" w:hAnsi="Calibri"/>
                <w:b/>
                <w:bCs/>
                <w:color w:val="1A2535"/>
                <w:sz w:val="22"/>
                <w:szCs w:val="22"/>
              </w:rPr>
              <w:t xml:space="preserve">What does the partner's client's current patching and vulnerability management process actually look like in practice, not on paper?</w:t>
            </w:r>
          </w:p>
          <w:p>
            <w:pPr>
              <w:spacing w:after="0" w:before="40"/>
            </w:pPr>
            <w:r>
              <w:rPr>
                <w:rFonts w:ascii="Calibri" w:cs="Calibri" w:eastAsia="Calibri" w:hAnsi="Calibri"/>
                <w:i/>
                <w:iCs/>
                <w:color w:val="4A5568"/>
                <w:sz w:val="20"/>
                <w:szCs w:val="20"/>
              </w:rPr>
              <w:t xml:space="preserve">There is almost always a gap between the documented process and the reality. The methodology needs to be built around the reality.</w:t>
            </w:r>
          </w:p>
        </w:tc>
      </w:tr>
      <w:tr>
        <w:tc>
          <w:tcPr>
            <w:tcW w:type="dxa" w:w="9360"/>
            <w:tcBorders>
              <w:top w:val="single" w:color="CCCCCC" w:sz="1"/>
              <w:left w:val="single" w:color="CCCCCC" w:sz="1"/>
              <w:bottom w:val="single" w:color="CCCCCC" w:sz="1"/>
              <w:right w:val="single" w:color="CCCCCC" w:sz="1"/>
            </w:tcBorders>
            <w:shd w:fill="F4F7FB" w:val="clear"/>
            <w:tcMar>
              <w:top w:type="dxa" w:w="100"/>
              <w:left w:type="dxa" w:w="280"/>
              <w:bottom w:type="dxa" w:w="100"/>
              <w:right w:type="dxa" w:w="280"/>
            </w:tcMar>
          </w:tcPr>
          <w:p>
            <w:r>
              <w:rPr>
                <w:rFonts w:ascii="Calibri" w:cs="Calibri" w:eastAsia="Calibri" w:hAnsi="Calibri"/>
                <w:b/>
                <w:bCs/>
                <w:color w:val="1A2535"/>
                <w:sz w:val="22"/>
                <w:szCs w:val="22"/>
              </w:rPr>
              <w:t xml:space="preserve">Where does remediation most often break down: detection, prioritization, execution, or verification?</w:t>
            </w:r>
          </w:p>
          <w:p>
            <w:pPr>
              <w:spacing w:after="0" w:before="40"/>
            </w:pPr>
            <w:r>
              <w:rPr>
                <w:rFonts w:ascii="Calibri" w:cs="Calibri" w:eastAsia="Calibri" w:hAnsi="Calibri"/>
                <w:i/>
                <w:iCs/>
                <w:color w:val="4A5568"/>
                <w:sz w:val="20"/>
                <w:szCs w:val="20"/>
              </w:rPr>
              <w:t xml:space="preserve">Each failure point requires a different solution framing. Do not assume they all have the same problem.</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280"/>
              <w:bottom w:type="dxa" w:w="100"/>
              <w:right w:type="dxa" w:w="280"/>
            </w:tcMar>
          </w:tcPr>
          <w:p>
            <w:r>
              <w:rPr>
                <w:rFonts w:ascii="Calibri" w:cs="Calibri" w:eastAsia="Calibri" w:hAnsi="Calibri"/>
                <w:b/>
                <w:bCs/>
                <w:color w:val="1A2535"/>
                <w:sz w:val="22"/>
                <w:szCs w:val="22"/>
              </w:rPr>
              <w:t xml:space="preserve">Is the client aware they have a hygiene problem, or does the awareness conversation need to happen before any solution conversation can begin?</w:t>
            </w:r>
          </w:p>
          <w:p>
            <w:pPr>
              <w:spacing w:after="0" w:before="40"/>
            </w:pPr>
            <w:r>
              <w:rPr>
                <w:rFonts w:ascii="Calibri" w:cs="Calibri" w:eastAsia="Calibri" w:hAnsi="Calibri"/>
                <w:i/>
                <w:iCs/>
                <w:color w:val="4A5568"/>
                <w:sz w:val="20"/>
                <w:szCs w:val="20"/>
              </w:rPr>
              <w:t xml:space="preserve">If awareness is not there, the methodology needs a discovery phase that builds it. This changes the session structure significantly.</w:t>
            </w:r>
          </w:p>
        </w:tc>
      </w:tr>
      <w:tr>
        <w:tc>
          <w:tcPr>
            <w:tcW w:type="dxa" w:w="9360"/>
            <w:tcBorders>
              <w:top w:val="single" w:color="CCCCCC" w:sz="1"/>
              <w:left w:val="single" w:color="CCCCCC" w:sz="1"/>
              <w:bottom w:val="single" w:color="CCCCCC" w:sz="1"/>
              <w:right w:val="single" w:color="CCCCCC" w:sz="1"/>
            </w:tcBorders>
            <w:shd w:fill="F4F7FB" w:val="clear"/>
            <w:tcMar>
              <w:top w:type="dxa" w:w="100"/>
              <w:left w:type="dxa" w:w="280"/>
              <w:bottom w:type="dxa" w:w="100"/>
              <w:right w:type="dxa" w:w="280"/>
            </w:tcMar>
          </w:tcPr>
          <w:p>
            <w:r>
              <w:rPr>
                <w:rFonts w:ascii="Calibri" w:cs="Calibri" w:eastAsia="Calibri" w:hAnsi="Calibri"/>
                <w:b/>
                <w:bCs/>
                <w:color w:val="1A2535"/>
                <w:sz w:val="22"/>
                <w:szCs w:val="22"/>
              </w:rPr>
              <w:t xml:space="preserve">What would a managed remediation motion look like for this specific partner's client base, and is the partner capable of delivering it today?</w:t>
            </w:r>
          </w:p>
          <w:p>
            <w:pPr>
              <w:spacing w:after="0" w:before="40"/>
            </w:pPr>
            <w:r>
              <w:rPr>
                <w:rFonts w:ascii="Calibri" w:cs="Calibri" w:eastAsia="Calibri" w:hAnsi="Calibri"/>
                <w:i/>
                <w:iCs/>
                <w:color w:val="4A5568"/>
                <w:sz w:val="20"/>
                <w:szCs w:val="20"/>
              </w:rPr>
              <w:t xml:space="preserve">Managed service design requires honest assessment of partner capability, not just vendor product fit.</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9A" w:val="clear"/>
            <w:tcMar>
              <w:top w:type="dxa" w:w="140"/>
              <w:left w:type="dxa" w:w="280"/>
              <w:bottom w:type="dxa" w:w="140"/>
              <w:right w:type="dxa" w:w="280"/>
            </w:tcMar>
          </w:tcPr>
          <w:p>
            <w:r>
              <w:rPr>
                <w:rFonts w:ascii="Calibri" w:cs="Calibri" w:eastAsia="Calibri" w:hAnsi="Calibri"/>
                <w:b/>
                <w:bCs/>
                <w:color w:val="FFFFFF"/>
                <w:sz w:val="24"/>
                <w:szCs w:val="24"/>
              </w:rPr>
              <w:t xml:space="preserve">Archetype 6: SOC Modernization / Agentic D&amp;R</w:t>
            </w:r>
          </w:p>
          <w:p>
            <w:pPr>
              <w:spacing w:after="0" w:before="30"/>
            </w:pPr>
            <w:r>
              <w:rPr>
                <w:rFonts w:ascii="Calibri" w:cs="Calibri" w:eastAsia="Calibri" w:hAnsi="Calibri"/>
                <w:i/>
                <w:iCs/>
                <w:color w:val="D6E8F5"/>
                <w:sz w:val="19"/>
                <w:szCs w:val="19"/>
              </w:rPr>
              <w:t xml:space="preserve">e.g. Agentic SOC vendors, autonomous detection and response</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280"/>
              <w:bottom w:type="dxa" w:w="100"/>
              <w:right w:type="dxa" w:w="280"/>
            </w:tcMar>
          </w:tcPr>
          <w:p>
            <w:r>
              <w:rPr>
                <w:rFonts w:ascii="Calibri" w:cs="Calibri" w:eastAsia="Calibri" w:hAnsi="Calibri"/>
                <w:b/>
                <w:bCs/>
                <w:color w:val="1A2535"/>
                <w:sz w:val="22"/>
                <w:szCs w:val="22"/>
              </w:rPr>
              <w:t xml:space="preserve">What is the partner's client currently outsourcing to an MSSP that, with the right capability, they should own internally?</w:t>
            </w:r>
          </w:p>
          <w:p>
            <w:pPr>
              <w:spacing w:after="0" w:before="40"/>
            </w:pPr>
            <w:r>
              <w:rPr>
                <w:rFonts w:ascii="Calibri" w:cs="Calibri" w:eastAsia="Calibri" w:hAnsi="Calibri"/>
                <w:i/>
                <w:iCs/>
                <w:color w:val="4A5568"/>
                <w:sz w:val="20"/>
                <w:szCs w:val="20"/>
              </w:rPr>
              <w:t xml:space="preserve">Detection engineering, alert triage, threat hunting. Get specific about what is being handed off and why.</w:t>
            </w:r>
          </w:p>
        </w:tc>
      </w:tr>
      <w:tr>
        <w:tc>
          <w:tcPr>
            <w:tcW w:type="dxa" w:w="9360"/>
            <w:tcBorders>
              <w:top w:val="single" w:color="CCCCCC" w:sz="1"/>
              <w:left w:val="single" w:color="CCCCCC" w:sz="1"/>
              <w:bottom w:val="single" w:color="CCCCCC" w:sz="1"/>
              <w:right w:val="single" w:color="CCCCCC" w:sz="1"/>
            </w:tcBorders>
            <w:shd w:fill="F4F7FB" w:val="clear"/>
            <w:tcMar>
              <w:top w:type="dxa" w:w="100"/>
              <w:left w:type="dxa" w:w="280"/>
              <w:bottom w:type="dxa" w:w="100"/>
              <w:right w:type="dxa" w:w="280"/>
            </w:tcMar>
          </w:tcPr>
          <w:p>
            <w:r>
              <w:rPr>
                <w:rFonts w:ascii="Calibri" w:cs="Calibri" w:eastAsia="Calibri" w:hAnsi="Calibri"/>
                <w:b/>
                <w:bCs/>
                <w:color w:val="1A2535"/>
                <w:sz w:val="22"/>
                <w:szCs w:val="22"/>
              </w:rPr>
              <w:t xml:space="preserve">What is the partner's honest assessment of their client's current MSSP in terms of actual detection and response quality?</w:t>
            </w:r>
          </w:p>
          <w:p>
            <w:pPr>
              <w:spacing w:after="0" w:before="40"/>
            </w:pPr>
            <w:r>
              <w:rPr>
                <w:rFonts w:ascii="Calibri" w:cs="Calibri" w:eastAsia="Calibri" w:hAnsi="Calibri"/>
                <w:i/>
                <w:iCs/>
                <w:color w:val="4A5568"/>
                <w:sz w:val="20"/>
                <w:szCs w:val="20"/>
              </w:rPr>
              <w:t xml:space="preserve">This is often the conversation the client has never had explicitly. Surface it carefully. The partner needs to feel safe being candid.</w:t>
            </w:r>
          </w:p>
        </w:tc>
      </w:tr>
      <w:tr>
        <w:tc>
          <w:tcPr>
            <w:tcW w:type="dxa" w:w="9360"/>
            <w:tcBorders>
              <w:top w:val="single" w:color="CCCCCC" w:sz="1"/>
              <w:left w:val="single" w:color="CCCCCC" w:sz="1"/>
              <w:bottom w:val="single" w:color="CCCCCC" w:sz="1"/>
              <w:right w:val="single" w:color="CCCCCC" w:sz="1"/>
            </w:tcBorders>
            <w:shd w:fill="FFFFFF" w:val="clear"/>
            <w:tcMar>
              <w:top w:type="dxa" w:w="100"/>
              <w:left w:type="dxa" w:w="280"/>
              <w:bottom w:type="dxa" w:w="100"/>
              <w:right w:type="dxa" w:w="280"/>
            </w:tcMar>
          </w:tcPr>
          <w:p>
            <w:r>
              <w:rPr>
                <w:rFonts w:ascii="Calibri" w:cs="Calibri" w:eastAsia="Calibri" w:hAnsi="Calibri"/>
                <w:b/>
                <w:bCs/>
                <w:color w:val="1A2535"/>
                <w:sz w:val="22"/>
                <w:szCs w:val="22"/>
              </w:rPr>
              <w:t xml:space="preserve">Where has the client felt most exposed by slow or inadequate response, and do they connect that to the outsourcing model?</w:t>
            </w:r>
          </w:p>
          <w:p>
            <w:pPr>
              <w:spacing w:after="0" w:before="40"/>
            </w:pPr>
            <w:r>
              <w:rPr>
                <w:rFonts w:ascii="Calibri" w:cs="Calibri" w:eastAsia="Calibri" w:hAnsi="Calibri"/>
                <w:i/>
                <w:iCs/>
                <w:color w:val="4A5568"/>
                <w:sz w:val="20"/>
                <w:szCs w:val="20"/>
              </w:rPr>
              <w:t xml:space="preserve">The connection between outsourced SOC and poor response quality is not always made by the client. The methodology may need to help them make it.</w:t>
            </w:r>
          </w:p>
        </w:tc>
      </w:tr>
      <w:tr>
        <w:tc>
          <w:tcPr>
            <w:tcW w:type="dxa" w:w="9360"/>
            <w:tcBorders>
              <w:top w:val="single" w:color="CCCCCC" w:sz="1"/>
              <w:left w:val="single" w:color="CCCCCC" w:sz="1"/>
              <w:bottom w:val="single" w:color="CCCCCC" w:sz="1"/>
              <w:right w:val="single" w:color="CCCCCC" w:sz="1"/>
            </w:tcBorders>
            <w:shd w:fill="F4F7FB" w:val="clear"/>
            <w:tcMar>
              <w:top w:type="dxa" w:w="100"/>
              <w:left w:type="dxa" w:w="280"/>
              <w:bottom w:type="dxa" w:w="100"/>
              <w:right w:type="dxa" w:w="280"/>
            </w:tcMar>
          </w:tcPr>
          <w:p>
            <w:r>
              <w:rPr>
                <w:rFonts w:ascii="Calibri" w:cs="Calibri" w:eastAsia="Calibri" w:hAnsi="Calibri"/>
                <w:b/>
                <w:bCs/>
                <w:color w:val="1A2535"/>
                <w:sz w:val="22"/>
                <w:szCs w:val="22"/>
              </w:rPr>
              <w:t xml:space="preserve">What does the partner need to be credible in a conversation about agentic detection and autonomous response with a skeptical security buyer?</w:t>
            </w:r>
          </w:p>
          <w:p>
            <w:pPr>
              <w:spacing w:after="0" w:before="40"/>
            </w:pPr>
            <w:r>
              <w:rPr>
                <w:rFonts w:ascii="Calibri" w:cs="Calibri" w:eastAsia="Calibri" w:hAnsi="Calibri"/>
                <w:i/>
                <w:iCs/>
                <w:color w:val="4A5568"/>
                <w:sz w:val="20"/>
                <w:szCs w:val="20"/>
              </w:rPr>
              <w:t xml:space="preserve">Autonomy in security operations is still a trust problem for many buyers. The partner needs references, architecture clarity, and a clear human-in-the-loop story.</w:t>
            </w:r>
          </w:p>
        </w:tc>
      </w:tr>
    </w:tbl>
    <w:p>
      <w:pPr>
        <w:spacing w:after="0" w:before="8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spacing w:before="80"/>
    </w:pPr>
    <w:r>
      <w:rPr>
        <w:rFonts w:ascii="Calibri" w:cs="Calibri" w:eastAsia="Calibri" w:hAnsi="Calibri"/>
        <w:color w:val="8CA0B5"/>
        <w:sz w:val="18"/>
        <w:szCs w:val="18"/>
      </w:rPr>
      <w:t xml:space="preserve">McPhail Security  |  Internal Use Only  |  Not for distribution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color="FFFFFF" w:sz="0"/>
        <w:left w:val="none" w:color="FFFFFF" w:sz="0"/>
        <w:bottom w:val="single" w:color="1A6B9A" w:sz="6"/>
        <w:right w:val="none" w:color="FFFFFF" w:sz="0"/>
        <w:insideH w:val="single" w:color="auto" w:sz="4"/>
        <w:insideV w:val="single" w:color="auto" w:sz="4"/>
      </w:tblBorders>
    </w:tblPr>
    <w:tblGrid>
      <w:gridCol w:w="6000"/>
      <w:gridCol w:w="3360"/>
    </w:tblGrid>
    <w:tr>
      <w:tc>
        <w:tcPr>
          <w:tcW w:type="dxa" w:w="6000"/>
          <w:tcBorders>
            <w:top w:val="none" w:color="FFFFFF" w:sz="0"/>
            <w:left w:val="none" w:color="FFFFFF" w:sz="0"/>
            <w:bottom w:val="none" w:color="FFFFFF" w:sz="0"/>
            <w:right w:val="none" w:color="FFFFFF" w:sz="0"/>
          </w:tcBorders>
          <w:tcMar>
            <w:top w:type="dxa" w:w="0"/>
            <w:left w:type="dxa" w:w="0"/>
            <w:bottom w:type="dxa" w:w="80"/>
            <w:right w:type="dxa" w:w="0"/>
          </w:tcMar>
        </w:tcPr>
        <w:p>
          <w:r>
            <w:rPr>
              <w:rFonts w:ascii="Calibri" w:cs="Calibri" w:eastAsia="Calibri" w:hAnsi="Calibri"/>
              <w:b/>
              <w:bCs/>
              <w:color w:val="0D1B2A"/>
              <w:sz w:val="20"/>
              <w:szCs w:val="20"/>
            </w:rPr>
            <w:t xml:space="preserve">McPhail Security</w:t>
          </w:r>
          <w:r>
            <w:rPr>
              <w:rFonts w:ascii="Calibri" w:cs="Calibri" w:eastAsia="Calibri" w:hAnsi="Calibri"/>
              <w:color w:val="8CA0B5"/>
              <w:sz w:val="20"/>
              <w:szCs w:val="20"/>
            </w:rPr>
            <w:t xml:space="preserve">  |  Partner-Craft POV</w:t>
          </w:r>
        </w:p>
      </w:tc>
      <w:tc>
        <w:tcPr>
          <w:tcW w:type="dxa" w:w="3360"/>
          <w:tcBorders>
            <w:top w:val="none" w:color="FFFFFF" w:sz="0"/>
            <w:left w:val="none" w:color="FFFFFF" w:sz="0"/>
            <w:bottom w:val="none" w:color="FFFFFF" w:sz="0"/>
            <w:right w:val="none" w:color="FFFFFF" w:sz="0"/>
          </w:tcBorders>
          <w:tcMar>
            <w:top w:type="dxa" w:w="0"/>
            <w:left w:type="dxa" w:w="0"/>
            <w:bottom w:type="dxa" w:w="80"/>
            <w:right w:type="dxa" w:w="0"/>
          </w:tcMar>
        </w:tcPr>
        <w:p>
          <w:pPr>
            <w:jc w:val="right"/>
          </w:pPr>
          <w:r>
            <w:rPr>
              <w:rFonts w:ascii="Calibri" w:cs="Calibri" w:eastAsia="Calibri" w:hAnsi="Calibri"/>
              <w:i/>
              <w:iCs/>
              <w:color w:val="8CA0B5"/>
              <w:sz w:val="18"/>
              <w:szCs w:val="18"/>
            </w:rPr>
            <w:t xml:space="preserve">Session Facilitation Guide  |  INTERNAL USE ONLY</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0D1B2A"/>
      <w:sz w:val="30"/>
      <w:szCs w:val="30"/>
    </w:rPr>
  </w:style>
  <w:style w:type="paragraph" w:styleId="Heading2">
    <w:name w:val="Heading 2"/>
    <w:basedOn w:val="Normal"/>
    <w:next w:val="Normal"/>
    <w:qFormat/>
    <w:pPr>
      <w:spacing w:after="120" w:before="280"/>
      <w:outlineLvl w:val="1"/>
    </w:pPr>
    <w:rPr>
      <w:rFonts w:ascii="Calibri" w:cs="Calibri" w:eastAsia="Calibri" w:hAnsi="Calibri"/>
      <w:b/>
      <w:bCs/>
      <w:color w:val="1A6B9A"/>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2026-06-01T11:59:48.992Z</dcterms:created>
  <dcterms:modified xsi:type="dcterms:W3CDTF">2026-06-01T11:59:48.992Z</dcterms:modified>
</cp:coreProperties>
</file>

<file path=docProps/custom.xml><?xml version="1.0" encoding="utf-8"?>
<Properties xmlns="http://schemas.openxmlformats.org/officeDocument/2006/custom-properties" xmlns:vt="http://schemas.openxmlformats.org/officeDocument/2006/docPropsVTypes"/>
</file>