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360"/>
              <w:left w:type="dxa" w:w="400"/>
              <w:bottom w:type="dxa" w:w="360"/>
              <w:right w:type="dxa" w:w="400"/>
            </w:tcMar>
          </w:tcPr>
          <w:p>
            <w:pPr>
              <w:spacing w:after="100" w:before="0"/>
            </w:pPr>
            <w:r>
              <w:rPr>
                <w:rFonts w:ascii="Calibri" w:cs="Calibri" w:eastAsia="Calibri" w:hAnsi="Calibri"/>
                <w:b/>
                <w:bCs/>
                <w:color w:val="8CA0B5"/>
                <w:spacing w:val="100"/>
                <w:sz w:val="17"/>
                <w:szCs w:val="17"/>
              </w:rPr>
              <w:t xml:space="preserve">MCPHAIL SECURITY  |  PARTNER-CRAFT POV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Partner Discovery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2196C9"/>
                <w:sz w:val="44"/>
                <w:szCs w:val="44"/>
              </w:rPr>
              <w:t xml:space="preserve">Questionnaire</w:t>
            </w:r>
          </w:p>
          <w:p>
            <w:pPr>
              <w:spacing w:after="0" w:before="180"/>
            </w:pPr>
            <w:r>
              <w:t xml:space="preserve"/>
            </w:r>
          </w:p>
          <w:p>
            <w:r>
              <w:rPr>
                <w:rFonts w:ascii="Calibri" w:cs="Calibri" w:eastAsia="Calibri" w:hAnsi="Calibri"/>
                <w:i/>
                <w:iCs/>
                <w:color w:val="D6E8F5"/>
                <w:sz w:val="22"/>
                <w:szCs w:val="22"/>
              </w:rPr>
              <w:t xml:space="preserve">This document is a conversation, not a form.</w:t>
            </w:r>
          </w:p>
        </w:tc>
      </w:tr>
    </w:tbl>
    <w:p>
      <w:pPr>
        <w:spacing w:after="0" w:before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8CA0B5"/>
                <w:spacing w:val="60"/>
                <w:sz w:val="17"/>
                <w:szCs w:val="17"/>
              </w:rPr>
              <w:t xml:space="preserve">PARTNER</w:t>
            </w:r>
          </w:p>
          <w:p>
            <w:pPr>
              <w:pBdr>
                <w:bottom w:val="single" w:color="1A6B9A" w:sz="5"/>
              </w:pBdr>
              <w:spacing w:after="0" w:before="10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8CA0B5"/>
                <w:spacing w:val="60"/>
                <w:sz w:val="17"/>
                <w:szCs w:val="17"/>
              </w:rPr>
              <w:t xml:space="preserve">VENDOR</w:t>
            </w:r>
          </w:p>
          <w:p>
            <w:pPr>
              <w:pBdr>
                <w:bottom w:val="single" w:color="1A6B9A" w:sz="5"/>
              </w:pBdr>
              <w:spacing w:after="0" w:before="10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8CA0B5"/>
                <w:spacing w:val="60"/>
                <w:sz w:val="17"/>
                <w:szCs w:val="17"/>
              </w:rPr>
              <w:t xml:space="preserve">DATE</w:t>
            </w:r>
          </w:p>
          <w:p>
            <w:pPr>
              <w:pBdr>
                <w:bottom w:val="single" w:color="1A6B9A" w:sz="5"/>
              </w:pBdr>
              <w:spacing w:after="0" w:before="10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28"/>
                <w:szCs w:val="28"/>
              </w:rPr>
              <w:t xml:space="preserve">How to Use This Document</w:t>
            </w:r>
          </w:p>
          <w:p>
            <w:pPr>
              <w:spacing w:after="100" w:before="0"/>
            </w:pPr>
            <w:r>
              <w:rPr>
                <w:rFonts w:ascii="Calibri" w:cs="Calibri" w:eastAsia="Calibri" w:hAnsi="Calibri"/>
                <w:color w:val="4A5568"/>
                <w:sz w:val="21"/>
                <w:szCs w:val="21"/>
              </w:rPr>
              <w:t xml:space="preserve">Work through this with the partner contact who knows the business best. It is not a form to be filled in advance and submitted. It is a structured conversation designed to surface the context that shapes the entire engagement.</w:t>
            </w:r>
          </w:p>
          <w:tbl>
            <w:tblPr>
              <w:tblW w:type="dxa" w:w="86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320"/>
              <w:gridCol w:w="4320"/>
            </w:tblGrid>
            <w:tr>
              <w:tc>
                <w:tcPr>
                  <w:tcW w:type="dxa" w:w="432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20"/>
                    <w:left w:type="dxa" w:w="160"/>
                    <w:bottom w:type="dxa" w:w="120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196C9"/>
                      <w:sz w:val="21"/>
                      <w:szCs w:val="21"/>
                    </w:rPr>
                    <w:t xml:space="preserve">01  Start with the partner.</w:t>
                  </w:r>
                </w:p>
                <w:p>
                  <w:pPr>
                    <w:spacing w:after="0" w:before="60"/>
                  </w:pPr>
                  <w:r>
                    <w:rPr>
                      <w:rFonts w:ascii="Calibri" w:cs="Calibri" w:eastAsia="Calibri" w:hAnsi="Calibri"/>
                      <w:color w:val="4A5568"/>
                      <w:sz w:val="20"/>
                      <w:szCs w:val="20"/>
                    </w:rPr>
                    <w:t xml:space="preserve">The partner who knows their clients best should be in the room. Not a sales contact who will give polished answers.</w:t>
                  </w:r>
                </w:p>
              </w:tc>
              <w:tc>
                <w:tcPr>
                  <w:tcW w:type="dxa" w:w="432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20"/>
                    <w:left w:type="dxa" w:w="160"/>
                    <w:bottom w:type="dxa" w:w="120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196C9"/>
                      <w:sz w:val="21"/>
                      <w:szCs w:val="21"/>
                    </w:rPr>
                    <w:t xml:space="preserve">02  Incomplete is fine.</w:t>
                  </w:r>
                </w:p>
                <w:p>
                  <w:pPr>
                    <w:spacing w:after="0" w:before="60"/>
                  </w:pPr>
                  <w:r>
                    <w:rPr>
                      <w:rFonts w:ascii="Calibri" w:cs="Calibri" w:eastAsia="Calibri" w:hAnsi="Calibri"/>
                      <w:color w:val="4A5568"/>
                      <w:sz w:val="20"/>
                      <w:szCs w:val="20"/>
                    </w:rPr>
                    <w:t xml:space="preserve">A blank field tells you something. A hedged answer tells you something. Both are useful data points for what the methodology needs to address.</w:t>
                  </w:r>
                </w:p>
              </w:tc>
            </w:tr>
            <w:tr>
              <w:tc>
                <w:tcPr>
                  <w:tcW w:type="dxa" w:w="432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20"/>
                    <w:left w:type="dxa" w:w="160"/>
                    <w:bottom w:type="dxa" w:w="120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196C9"/>
                      <w:sz w:val="21"/>
                      <w:szCs w:val="21"/>
                    </w:rPr>
                    <w:t xml:space="preserve">03  Use the archetype selector.</w:t>
                  </w:r>
                </w:p>
                <w:p>
                  <w:pPr>
                    <w:spacing w:after="0" w:before="60"/>
                  </w:pPr>
                  <w:r>
                    <w:rPr>
                      <w:rFonts w:ascii="Calibri" w:cs="Calibri" w:eastAsia="Calibri" w:hAnsi="Calibri"/>
                      <w:color w:val="4A5568"/>
                      <w:sz w:val="20"/>
                      <w:szCs w:val="20"/>
                    </w:rPr>
                    <w:t xml:space="preserve">Section 3 has six versions. Select the one that matches this engagement before the session begins and bring the relevant page.</w:t>
                  </w:r>
                </w:p>
              </w:tc>
              <w:tc>
                <w:tcPr>
                  <w:tcW w:type="dxa" w:w="432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20"/>
                    <w:left w:type="dxa" w:w="160"/>
                    <w:bottom w:type="dxa" w:w="120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196C9"/>
                      <w:sz w:val="21"/>
                      <w:szCs w:val="21"/>
                    </w:rPr>
                    <w:t xml:space="preserve">04  Feed outputs forward.</w:t>
                  </w:r>
                </w:p>
                <w:p>
                  <w:pPr>
                    <w:spacing w:after="0" w:before="60"/>
                  </w:pPr>
                  <w:r>
                    <w:rPr>
                      <w:rFonts w:ascii="Calibri" w:cs="Calibri" w:eastAsia="Calibri" w:hAnsi="Calibri"/>
                      <w:color w:val="4A5568"/>
                      <w:sz w:val="20"/>
                      <w:szCs w:val="20"/>
                    </w:rPr>
                    <w:t xml:space="preserve">Answers here directly shape the facilitation guides, worksheets, and gap analysis. Candid answers produce better methodology.</w:t>
                  </w:r>
                </w:p>
              </w:tc>
            </w:tr>
          </w:tbl>
          <w:p>
            <w:pPr>
              <w:spacing w:after="0" w:before="18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What is in this document</w:t>
            </w:r>
          </w:p>
          <w:tbl>
            <w:tblPr>
              <w:tblW w:type="dxa" w:w="86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40"/>
              <w:gridCol w:w="3000"/>
              <w:gridCol w:w="4200"/>
            </w:tblGrid>
            <w:tr>
              <w:tc>
                <w:tcPr>
                  <w:tcW w:type="dxa" w:w="144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6E8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6B9A"/>
                      <w:sz w:val="20"/>
                      <w:szCs w:val="20"/>
                    </w:rPr>
                    <w:t xml:space="preserve">Section 1</w:t>
                  </w:r>
                </w:p>
              </w:tc>
              <w:tc>
                <w:tcPr>
                  <w:tcW w:type="dxa" w:w="30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6E8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D1B2A"/>
                      <w:sz w:val="20"/>
                      <w:szCs w:val="20"/>
                    </w:rPr>
                    <w:t xml:space="preserve">About the Partner</w:t>
                  </w:r>
                </w:p>
              </w:tc>
              <w:tc>
                <w:tcPr>
                  <w:tcW w:type="dxa" w:w="4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6E8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4A5568"/>
                      <w:sz w:val="20"/>
                      <w:szCs w:val="20"/>
                    </w:rPr>
                    <w:t xml:space="preserve">Business model, geography, client profile, sales motion</w:t>
                  </w:r>
                </w:p>
              </w:tc>
            </w:tr>
            <w:tr>
              <w:tc>
                <w:tcPr>
                  <w:tcW w:type="dxa" w:w="144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6B9A"/>
                      <w:sz w:val="20"/>
                      <w:szCs w:val="20"/>
                    </w:rPr>
                    <w:t xml:space="preserve">Section 2</w:t>
                  </w:r>
                </w:p>
              </w:tc>
              <w:tc>
                <w:tcPr>
                  <w:tcW w:type="dxa" w:w="30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D1B2A"/>
                      <w:sz w:val="20"/>
                      <w:szCs w:val="20"/>
                    </w:rPr>
                    <w:t xml:space="preserve">About the Vendor Relationship</w:t>
                  </w:r>
                </w:p>
              </w:tc>
              <w:tc>
                <w:tcPr>
                  <w:tcW w:type="dxa" w:w="4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4A5568"/>
                      <w:sz w:val="20"/>
                      <w:szCs w:val="20"/>
                    </w:rPr>
                    <w:t xml:space="preserve">Origin, stage, expectations, and material usefulness</w:t>
                  </w:r>
                </w:p>
              </w:tc>
            </w:tr>
            <w:tr>
              <w:tc>
                <w:tcPr>
                  <w:tcW w:type="dxa" w:w="144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6E8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6B9A"/>
                      <w:sz w:val="20"/>
                      <w:szCs w:val="20"/>
                    </w:rPr>
                    <w:t xml:space="preserve">Section 3</w:t>
                  </w:r>
                </w:p>
              </w:tc>
              <w:tc>
                <w:tcPr>
                  <w:tcW w:type="dxa" w:w="30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6E8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D1B2A"/>
                      <w:sz w:val="20"/>
                      <w:szCs w:val="20"/>
                    </w:rPr>
                    <w:t xml:space="preserve">About the Client Problem</w:t>
                  </w:r>
                </w:p>
              </w:tc>
              <w:tc>
                <w:tcPr>
                  <w:tcW w:type="dxa" w:w="4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6E8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4A5568"/>
                      <w:sz w:val="20"/>
                      <w:szCs w:val="20"/>
                    </w:rPr>
                    <w:t xml:space="preserve">Archetype-specific: select one of six variants</w:t>
                  </w:r>
                </w:p>
              </w:tc>
            </w:tr>
            <w:tr>
              <w:tc>
                <w:tcPr>
                  <w:tcW w:type="dxa" w:w="144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6B9A"/>
                      <w:sz w:val="20"/>
                      <w:szCs w:val="20"/>
                    </w:rPr>
                    <w:t xml:space="preserve">Section 4</w:t>
                  </w:r>
                </w:p>
              </w:tc>
              <w:tc>
                <w:tcPr>
                  <w:tcW w:type="dxa" w:w="30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D1B2A"/>
                      <w:sz w:val="20"/>
                      <w:szCs w:val="20"/>
                    </w:rPr>
                    <w:t xml:space="preserve">About the Gap</w:t>
                  </w:r>
                </w:p>
              </w:tc>
              <w:tc>
                <w:tcPr>
                  <w:tcW w:type="dxa" w:w="4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4A5568"/>
                      <w:sz w:val="20"/>
                      <w:szCs w:val="20"/>
                    </w:rPr>
                    <w:t xml:space="preserve">Where the current motion breaks down and what would fix it</w:t>
                  </w:r>
                </w:p>
              </w:tc>
            </w:tr>
            <w:tr>
              <w:tc>
                <w:tcPr>
                  <w:tcW w:type="dxa" w:w="144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6E8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6B9A"/>
                      <w:sz w:val="20"/>
                      <w:szCs w:val="20"/>
                    </w:rPr>
                    <w:t xml:space="preserve">Variants</w:t>
                  </w:r>
                </w:p>
              </w:tc>
              <w:tc>
                <w:tcPr>
                  <w:tcW w:type="dxa" w:w="30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6E8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D1B2A"/>
                      <w:sz w:val="20"/>
                      <w:szCs w:val="20"/>
                    </w:rPr>
                    <w:t xml:space="preserve">Archetype Question Sets</w:t>
                  </w:r>
                </w:p>
              </w:tc>
              <w:tc>
                <w:tcPr>
                  <w:tcW w:type="dxa" w:w="4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6E8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4A5568"/>
                      <w:sz w:val="20"/>
                      <w:szCs w:val="20"/>
                    </w:rPr>
                    <w:t xml:space="preserve">Six scenario-specific versions of Section 3</w:t>
                  </w:r>
                </w:p>
              </w:tc>
            </w:tr>
          </w:tbl>
          <w:p/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6B9A"/>
                <w:sz w:val="20"/>
                <w:szCs w:val="20"/>
              </w:rPr>
              <w:t xml:space="preserve">Section 1: About the Partner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Section 1 of 4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Section 1: About the Partner</w:t>
            </w: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i/>
                <w:iCs/>
                <w:color w:val="8CA0B5"/>
                <w:sz w:val="19"/>
                <w:szCs w:val="19"/>
              </w:rPr>
              <w:t xml:space="preserve">Understanding the partner's business model, client base, and market position</w:t>
            </w:r>
          </w:p>
        </w:tc>
      </w:tr>
    </w:tbl>
    <w:p>
      <w:pPr>
        <w:spacing w:after="0" w:before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01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is your primary business model?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e.g. systems integrator / boutique consultancy / reseller / MSSP / hybrid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02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is your primary geographic market?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e.g. Japan / broader APJ / global with APJ focus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03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Describe your typical client.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Sector, size, and the role of the person you usually sell to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04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does a successful engagement look like for your business?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e.g. product sale / recurring managed service / project-based consulting / retainer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05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is your current sales cycle length, and where do deals most often stall?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6B9A"/>
                <w:sz w:val="20"/>
                <w:szCs w:val="20"/>
              </w:rPr>
              <w:t xml:space="preserve">Section 2: About the Vendor Relationship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Section 2 of 4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Section 2: About the Vendor Relationship</w:t>
            </w: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i/>
                <w:iCs/>
                <w:color w:val="8CA0B5"/>
                <w:sz w:val="19"/>
                <w:szCs w:val="19"/>
              </w:rPr>
              <w:t xml:space="preserve">Understanding where this relationship stands and what the partner actually needs from it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06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How did this vendor relationship originate?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e.g. inbound from vendor / you sought them out / introduced through a third party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07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stage is the relationship at?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e.g. exploring / signed agreement / active but underperforming / scaling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08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does the vendor expect from you, and do you agree with that expectation?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09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materials has the vendor already provided, and how useful have they actually been in real client conversations?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6B9A"/>
                <w:sz w:val="20"/>
                <w:szCs w:val="20"/>
              </w:rPr>
              <w:t xml:space="preserve">Section 3: About the Client Problem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Section 3 of 4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Section 3: About the Client Problem</w:t>
            </w: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i/>
                <w:iCs/>
                <w:color w:val="8CA0B5"/>
                <w:sz w:val="19"/>
                <w:szCs w:val="19"/>
              </w:rPr>
              <w:t xml:space="preserve">Use the archetype-specific version of this section from the variant pages at the end of this document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240"/>
              <w:left w:type="dxa" w:w="360"/>
              <w:bottom w:type="dxa" w:w="240"/>
              <w:right w:type="dxa" w:w="36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Select your archetype and go to that page.</w:t>
            </w:r>
          </w:p>
          <w:p>
            <w:r>
              <w:rPr>
                <w:rFonts w:ascii="Calibri" w:cs="Calibri" w:eastAsia="Calibri" w:hAnsi="Calibri"/>
                <w:i/>
                <w:iCs/>
                <w:color w:val="8CA0B5"/>
                <w:sz w:val="21"/>
                <w:szCs w:val="21"/>
              </w:rPr>
              <w:t xml:space="preserve">Bring only the relevant archetype page into the session. The questions there replace questions 10-13 on this page.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40"/>
        <w:gridCol w:w="4640"/>
      </w:tblGrid>
      <w:tr>
        <w:tc>
          <w:tcPr>
            <w:tcW w:type="dxa" w:w="4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18"/>
                <w:szCs w:val="18"/>
              </w:rPr>
              <w:t xml:space="preserve">A1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1"/>
                <w:szCs w:val="21"/>
              </w:rPr>
              <w:t xml:space="preserve">Classic Enterprise Cyber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Established vendors, global products, direct enterprise security motion</w:t>
            </w:r>
          </w:p>
          <w:p>
            <w:r>
              <w:rPr>
                <w:rFonts w:ascii="Calibri" w:cs="Calibri" w:eastAsia="Calibri" w:hAnsi="Calibri"/>
                <w:i/>
                <w:iCs/>
                <w:color w:val="1A6B9A"/>
                <w:sz w:val="18"/>
                <w:szCs w:val="18"/>
              </w:rPr>
              <w:t xml:space="preserve">e.g. Mimic</w:t>
            </w:r>
          </w:p>
        </w:tc>
        <w:tc>
          <w:tcPr>
            <w:tcW w:type="dxa" w:w="4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18"/>
                <w:szCs w:val="18"/>
              </w:rPr>
              <w:t xml:space="preserve">A2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1"/>
                <w:szCs w:val="21"/>
              </w:rPr>
              <w:t xml:space="preserve">Industrial / OT / IIoT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OT security, industrial environments, multi-stakeholder buyer chains</w:t>
            </w:r>
          </w:p>
          <w:p>
            <w:r>
              <w:rPr>
                <w:rFonts w:ascii="Calibri" w:cs="Calibri" w:eastAsia="Calibri" w:hAnsi="Calibri"/>
                <w:i/>
                <w:iCs/>
                <w:color w:val="1A6B9A"/>
                <w:sz w:val="18"/>
                <w:szCs w:val="18"/>
              </w:rPr>
              <w:t xml:space="preserve">e.g. WI-SUN, Toyota Tsusho</w:t>
            </w:r>
          </w:p>
        </w:tc>
      </w:tr>
      <w:tr>
        <w:tc>
          <w:tcPr>
            <w:tcW w:type="dxa" w:w="4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18"/>
                <w:szCs w:val="18"/>
              </w:rPr>
              <w:t xml:space="preserve">A3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1"/>
                <w:szCs w:val="21"/>
              </w:rPr>
              <w:t xml:space="preserve">Emerging / Sensitive AI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AI governance, data sovereignty, regulated sector sensitivity</w:t>
            </w:r>
          </w:p>
          <w:p>
            <w:r>
              <w:rPr>
                <w:rFonts w:ascii="Calibri" w:cs="Calibri" w:eastAsia="Calibri" w:hAnsi="Calibri"/>
                <w:i/>
                <w:iCs/>
                <w:color w:val="1A6B9A"/>
                <w:sz w:val="18"/>
                <w:szCs w:val="18"/>
              </w:rPr>
              <w:t xml:space="preserve">e.g. WitnessAI</w:t>
            </w:r>
          </w:p>
        </w:tc>
        <w:tc>
          <w:tcPr>
            <w:tcW w:type="dxa" w:w="4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18"/>
                <w:szCs w:val="18"/>
              </w:rPr>
              <w:t xml:space="preserve">A4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1"/>
                <w:szCs w:val="21"/>
              </w:rPr>
              <w:t xml:space="preserve">PKI / PQC / Crypto Lifecycle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Certificate management, post-quantum readiness, crypto infrastructure</w:t>
            </w:r>
          </w:p>
          <w:p>
            <w:r>
              <w:rPr>
                <w:rFonts w:ascii="Calibri" w:cs="Calibri" w:eastAsia="Calibri" w:hAnsi="Calibri"/>
                <w:i/>
                <w:iCs/>
                <w:color w:val="1A6B9A"/>
                <w:sz w:val="18"/>
                <w:szCs w:val="18"/>
              </w:rPr>
              <w:t xml:space="preserve">e.g. Keyfactor, OmniTrust</w:t>
            </w:r>
          </w:p>
        </w:tc>
      </w:tr>
      <w:tr>
        <w:tc>
          <w:tcPr>
            <w:tcW w:type="dxa" w:w="4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18"/>
                <w:szCs w:val="18"/>
              </w:rPr>
              <w:t xml:space="preserve">A5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1"/>
                <w:szCs w:val="21"/>
              </w:rPr>
              <w:t xml:space="preserve">Remediation / Hygiene at Scale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Patching, vulnerability management, managed remediation motion</w:t>
            </w:r>
          </w:p>
          <w:p>
            <w:r>
              <w:rPr>
                <w:rFonts w:ascii="Calibri" w:cs="Calibri" w:eastAsia="Calibri" w:hAnsi="Calibri"/>
                <w:i/>
                <w:iCs/>
                <w:color w:val="1A6B9A"/>
                <w:sz w:val="18"/>
                <w:szCs w:val="18"/>
              </w:rPr>
              <w:t xml:space="preserve">e.g. Northern Tech Mender</w:t>
            </w:r>
          </w:p>
        </w:tc>
        <w:tc>
          <w:tcPr>
            <w:tcW w:type="dxa" w:w="4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18"/>
                <w:szCs w:val="18"/>
              </w:rPr>
              <w:t xml:space="preserve">A6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1"/>
                <w:szCs w:val="21"/>
              </w:rPr>
              <w:t xml:space="preserve">SOC Modernization / Agentic D&amp;R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Moving from log aggregation to in-house detection engineering and agentic response</w:t>
            </w:r>
          </w:p>
          <w:p>
            <w:r>
              <w:rPr>
                <w:rFonts w:ascii="Calibri" w:cs="Calibri" w:eastAsia="Calibri" w:hAnsi="Calibri"/>
                <w:i/>
                <w:iCs/>
                <w:color w:val="1A6B9A"/>
                <w:sz w:val="18"/>
                <w:szCs w:val="18"/>
              </w:rPr>
              <w:t xml:space="preserve">e.g. Agentic SOC vendors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6B9A"/>
                <w:sz w:val="20"/>
                <w:szCs w:val="20"/>
              </w:rPr>
              <w:t xml:space="preserve">Section 4: About the Gap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Section 4 of 4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Section 4: About the Gap</w:t>
            </w: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i/>
                <w:iCs/>
                <w:color w:val="8CA0B5"/>
                <w:sz w:val="19"/>
                <w:szCs w:val="19"/>
              </w:rPr>
              <w:t xml:space="preserve">What is missing, and what would a good partner methodology actually give this partner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14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Where does your current go-to-market motion break down?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e.g. finding the right entry point / building internal champions / technical credibility / commercial structuring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15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would a successful partner methodology give you that you do not have today?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16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Is there anything about your market or your clients that you think the vendor fundamentally misunderstands?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Archetype Variant  |  Section 3 Replacement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1 of 6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9A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D6E8F5"/>
                <w:sz w:val="18"/>
                <w:szCs w:val="18"/>
              </w:rPr>
              <w:t xml:space="preserve">A1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Classic Enterprise Cyber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i/>
                <w:iCs/>
                <w:color w:val="D6E8F5"/>
                <w:sz w:val="19"/>
                <w:szCs w:val="19"/>
              </w:rPr>
              <w:t xml:space="preserve">e.g. Mimic and similar established security vendors</w:t>
            </w:r>
          </w:p>
          <w:p>
            <w:r>
              <w:rPr>
                <w:rFonts w:ascii="Calibri" w:cs="Calibri" w:eastAsia="Calibri" w:hAnsi="Calibri"/>
                <w:color w:val="D6E8F5"/>
                <w:sz w:val="19"/>
                <w:szCs w:val="19"/>
              </w:rPr>
              <w:t xml:space="preserve">Replace questions 10-13 in Section 3 with the four questions below. All other sections remain unchanged.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10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threat scenarios are you most concerned about, and why those specifically?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11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Where does the vendor's standard positioning fall flat in your specific client conversations?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12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proof points land with your clients, and what feels imported from another market?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13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does a successful first deployment look like, and who owns it on the client side?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Archetype Variant  |  Section 3 Replacement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2 of 6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9A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D6E8F5"/>
                <w:sz w:val="18"/>
                <w:szCs w:val="18"/>
              </w:rPr>
              <w:t xml:space="preserve">A2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Industrial / OT / IIoT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i/>
                <w:iCs/>
                <w:color w:val="D6E8F5"/>
                <w:sz w:val="19"/>
                <w:szCs w:val="19"/>
              </w:rPr>
              <w:t xml:space="preserve">e.g. WI-SUN Alliance, Toyota Tsusho context</w:t>
            </w:r>
          </w:p>
          <w:p>
            <w:r>
              <w:rPr>
                <w:rFonts w:ascii="Calibri" w:cs="Calibri" w:eastAsia="Calibri" w:hAnsi="Calibri"/>
                <w:color w:val="D6E8F5"/>
                <w:sz w:val="19"/>
                <w:szCs w:val="19"/>
              </w:rPr>
              <w:t xml:space="preserve">Replace questions 10-13 in Section 3 with the four questions below. All other sections remain unchanged.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10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Who is the actual buyer in this engagement: IT security, OT engineering, or procurement?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11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is the consequence of a security failure in the client's OT environment, in operational terms?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12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existing OT vendor or integrator relationships does the partner have that need to be respected?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13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does the partner need to be credible in an OT room that they do not currently have?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Archetype Variant  |  Section 3 Replacement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3 of 6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9A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D6E8F5"/>
                <w:sz w:val="18"/>
                <w:szCs w:val="18"/>
              </w:rPr>
              <w:t xml:space="preserve">A3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Emerging / Sensitive AI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i/>
                <w:iCs/>
                <w:color w:val="D6E8F5"/>
                <w:sz w:val="19"/>
                <w:szCs w:val="19"/>
              </w:rPr>
              <w:t xml:space="preserve">e.g. WitnessAI and AI governance vendors</w:t>
            </w:r>
          </w:p>
          <w:p>
            <w:r>
              <w:rPr>
                <w:rFonts w:ascii="Calibri" w:cs="Calibri" w:eastAsia="Calibri" w:hAnsi="Calibri"/>
                <w:color w:val="D6E8F5"/>
                <w:sz w:val="19"/>
                <w:szCs w:val="19"/>
              </w:rPr>
              <w:t xml:space="preserve">Replace questions 10-13 in Section 3 with the four questions below. All other sections remain unchanged.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10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is the partner's honest read on client appetite for AI-related products in their market right now?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11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Where does data residency or sovereignty become a concrete blocker, not a theoretical concern?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12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regulatory conversations is the partner already having that this vendor's story could plug into?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13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would need to be true about the vendor's data handling for this story to be safe to tell in a Japanese FSI context?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Archetype Variant  |  Section 3 Replacement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4 of 6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9A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D6E8F5"/>
                <w:sz w:val="18"/>
                <w:szCs w:val="18"/>
              </w:rPr>
              <w:t xml:space="preserve">A4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PKI / PQC / Crypto Lifecycle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i/>
                <w:iCs/>
                <w:color w:val="D6E8F5"/>
                <w:sz w:val="19"/>
                <w:szCs w:val="19"/>
              </w:rPr>
              <w:t xml:space="preserve">e.g. Keyfactor, OmniTrust</w:t>
            </w:r>
          </w:p>
          <w:p>
            <w:r>
              <w:rPr>
                <w:rFonts w:ascii="Calibri" w:cs="Calibri" w:eastAsia="Calibri" w:hAnsi="Calibri"/>
                <w:color w:val="D6E8F5"/>
                <w:sz w:val="19"/>
                <w:szCs w:val="19"/>
              </w:rPr>
              <w:t xml:space="preserve">Replace questions 10-13 in Section 3 with the four questions below. All other sections remain unchanged.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10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How technically mature is the partner's client base on certificate management and cryptographic infrastructure today?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11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Is the PQC conversation being driven by external regulation, internal risk appetite, or is it not happening yet?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12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does the partner need to explain quantum risk clearly to a non-technical executive?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13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Where are the quick wins that build credibility and momentum before the full PQC roadmap conversation?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Archetype Variant  |  Section 3 Replacement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5 of 6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9A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D6E8F5"/>
                <w:sz w:val="18"/>
                <w:szCs w:val="18"/>
              </w:rPr>
              <w:t xml:space="preserve">A5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Remediation / Hygiene at Scale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i/>
                <w:iCs/>
                <w:color w:val="D6E8F5"/>
                <w:sz w:val="19"/>
                <w:szCs w:val="19"/>
              </w:rPr>
              <w:t xml:space="preserve">e.g. Northern Tech Mender</w:t>
            </w:r>
          </w:p>
          <w:p>
            <w:r>
              <w:rPr>
                <w:rFonts w:ascii="Calibri" w:cs="Calibri" w:eastAsia="Calibri" w:hAnsi="Calibri"/>
                <w:color w:val="D6E8F5"/>
                <w:sz w:val="19"/>
                <w:szCs w:val="19"/>
              </w:rPr>
              <w:t xml:space="preserve">Replace questions 10-13 in Section 3 with the four questions below. All other sections remain unchanged.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10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does the partner's client's current patching and vulnerability management process actually look like in practice?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11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Where does remediation most often break down: detection, prioritization, execution, or verification?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12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Is the client aware they have a hygiene problem, or does that awareness conversation need to happen first?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13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would a managed remediation motion look like for this partner's client base, and can the partner deliver it today?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Archetype Variant  |  Section 3 Replacement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CA0B5"/>
                <w:sz w:val="18"/>
                <w:szCs w:val="18"/>
              </w:rPr>
              <w:t xml:space="preserve">6 of 6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9A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D6E8F5"/>
                <w:sz w:val="18"/>
                <w:szCs w:val="18"/>
              </w:rPr>
              <w:t xml:space="preserve">A6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SOC Modernization / Agentic D&amp;R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i/>
                <w:iCs/>
                <w:color w:val="D6E8F5"/>
                <w:sz w:val="19"/>
                <w:szCs w:val="19"/>
              </w:rPr>
              <w:t xml:space="preserve">e.g. Agentic SOC vendors, autonomous detection and response</w:t>
            </w:r>
          </w:p>
          <w:p>
            <w:r>
              <w:rPr>
                <w:rFonts w:ascii="Calibri" w:cs="Calibri" w:eastAsia="Calibri" w:hAnsi="Calibri"/>
                <w:color w:val="D6E8F5"/>
                <w:sz w:val="19"/>
                <w:szCs w:val="19"/>
              </w:rPr>
              <w:t xml:space="preserve">Replace questions 10-13 in Section 3 with the four questions below. All other sections remain unchanged.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10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is the client currently outsourcing to an MSSP that, with the right capability, they should own internally?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11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is the partner's honest assessment of the client's current MSSP detection and response quality?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12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Where has the client felt most exposed by slow or inadequate response, and do they connect that to the outsourcing model?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60"/>
              <w:left w:type="dxa" w:w="280"/>
              <w:bottom w:type="dxa" w:w="20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0"/>
                <w:szCs w:val="20"/>
              </w:rPr>
              <w:t xml:space="preserve">13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   What does the partner need to be credible in a conversation about agentic detection and autonomous response?</w:t>
            </w:r>
          </w:p>
          <w:p>
            <w:pPr>
              <w:pBdr>
                <w:bottom w:val="single" w:color="CCCCCC" w:sz="5"/>
              </w:pBdr>
              <w:spacing w:after="0" w:before="12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CCCCCC" w:sz="5"/>
              </w:pBdr>
              <w:spacing w:after="0" w:before="80"/>
            </w:pPr>
            <w:r>
              <w:rPr>
                <w:rFonts w:ascii="Calibri" w:cs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>
      <w:r>
        <w:br w:type="page"/>
      </w:r>
    </w:p>
    <w:sectPr>
      <w:headerReference w:type="default" r:id="rId7"/>
      <w:footerReference w:type="default" r:id="rId8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/>
      </w:pBdr>
      <w:spacing w:before="80"/>
    </w:pPr>
    <w:r>
      <w:rPr>
        <w:rFonts w:ascii="Calibri" w:cs="Calibri" w:eastAsia="Calibri" w:hAnsi="Calibri"/>
        <w:color w:val="8CA0B5"/>
        <w:sz w:val="18"/>
        <w:szCs w:val="18"/>
      </w:rPr>
      <w:t xml:space="preserve">McPhail Security  |  Partner-Craft POV  | 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none" w:color="FFFFFF" w:sz="0"/>
        <w:left w:val="none" w:color="FFFFFF" w:sz="0"/>
        <w:bottom w:val="single" w:color="1A6B9A" w:sz="6"/>
        <w:right w:val="none" w:color="FFFFFF" w:sz="0"/>
        <w:insideH w:val="single" w:color="auto" w:sz="4"/>
        <w:insideV w:val="single" w:color="auto" w:sz="4"/>
      </w:tblBorders>
    </w:tblPr>
    <w:tblGrid>
      <w:gridCol w:w="5800"/>
      <w:gridCol w:w="3560"/>
    </w:tblGrid>
    <w:tr>
      <w:tc>
        <w:tcPr>
          <w:tcW w:type="dxa" w:w="58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</w:tcPr>
        <w:p>
          <w:r>
            <w:rPr>
              <w:rFonts w:ascii="Calibri" w:cs="Calibri" w:eastAsia="Calibri" w:hAnsi="Calibri"/>
              <w:b/>
              <w:bCs/>
              <w:color w:val="0D1B2A"/>
              <w:sz w:val="20"/>
              <w:szCs w:val="20"/>
            </w:rPr>
            <w:t xml:space="preserve">McPhail Security</w:t>
          </w:r>
          <w:r>
            <w:rPr>
              <w:rFonts w:ascii="Calibri" w:cs="Calibri" w:eastAsia="Calibri" w:hAnsi="Calibri"/>
              <w:color w:val="8CA0B5"/>
              <w:sz w:val="20"/>
              <w:szCs w:val="20"/>
            </w:rPr>
            <w:t xml:space="preserve">  |  Partner-Craft POV</w:t>
          </w:r>
        </w:p>
      </w:tc>
      <w:tc>
        <w:tcPr>
          <w:tcW w:type="dxa" w:w="35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</w:tcPr>
        <w:p>
          <w:pPr>
            <w:jc w:val="right"/>
          </w:pPr>
          <w:r>
            <w:rPr>
              <w:rFonts w:ascii="Calibri" w:cs="Calibri" w:eastAsia="Calibri" w:hAnsi="Calibri"/>
              <w:i/>
              <w:iCs/>
              <w:color w:val="8CA0B5"/>
              <w:sz w:val="18"/>
              <w:szCs w:val="18"/>
            </w:rPr>
            <w:t xml:space="preserve">Partner Discovery Questionnaire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Calibri" w:cs="Calibri" w:eastAsia="Calibri" w:hAnsi="Calibri"/>
      <w:b/>
      <w:bCs/>
      <w:color w:val="0D1B2A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2026-06-01T12:16:00.583Z</dcterms:created>
  <dcterms:modified xsi:type="dcterms:W3CDTF">2026-06-01T12:16:00.583Z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